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2C4667" w:rsidRDefault="00F92268" w:rsidP="00850792">
      <w:pPr>
        <w:pStyle w:val="BodyText"/>
        <w:rPr>
          <w:sz w:val="6"/>
          <w:szCs w:val="6"/>
        </w:rPr>
      </w:pPr>
      <w:r w:rsidRPr="002C4667">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2C4667"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2C4667" w:rsidRDefault="00F92268" w:rsidP="00F246C7">
            <w:pPr>
              <w:pStyle w:val="RefTableData"/>
            </w:pPr>
            <w:r w:rsidRPr="002C4667">
              <w:t>Reference number(s)</w:t>
            </w:r>
          </w:p>
        </w:tc>
      </w:tr>
      <w:tr w:rsidR="00F92268" w:rsidRPr="002C4667"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BCB2097" w:rsidR="00F92268" w:rsidRPr="002C4667" w:rsidRDefault="00AF3DB4" w:rsidP="00F246C7">
            <w:pPr>
              <w:pStyle w:val="RefTableHeader"/>
            </w:pPr>
            <w:r w:rsidRPr="002C4667">
              <w:t>2172-A</w:t>
            </w:r>
          </w:p>
        </w:tc>
      </w:tr>
    </w:tbl>
    <w:p w14:paraId="74FBA5B4" w14:textId="77777777" w:rsidR="00051356" w:rsidRPr="002C4667" w:rsidRDefault="00051356" w:rsidP="00A672B3">
      <w:pPr>
        <w:pStyle w:val="BodyText"/>
        <w:rPr>
          <w:b/>
          <w:bCs/>
          <w:sz w:val="16"/>
          <w:szCs w:val="16"/>
        </w:rPr>
        <w:sectPr w:rsidR="00051356" w:rsidRPr="002C4667" w:rsidSect="00121585">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C4BE22D" w:rsidR="004B15BB" w:rsidRPr="002C4667" w:rsidRDefault="00AF3DB4" w:rsidP="00AF3DB4">
      <w:pPr>
        <w:pStyle w:val="Heading1"/>
      </w:pPr>
      <w:r w:rsidRPr="002C4667">
        <w:t>Specialty Guideline Management</w:t>
      </w:r>
      <w:r w:rsidR="008C54D9" w:rsidRPr="002C4667">
        <w:br/>
      </w:r>
      <w:r w:rsidRPr="002C4667">
        <w:t>imatinib</w:t>
      </w:r>
      <w:r w:rsidR="00B74C96">
        <w:t xml:space="preserve"> products</w:t>
      </w:r>
    </w:p>
    <w:p w14:paraId="78861C92" w14:textId="1E396EB3" w:rsidR="00203468" w:rsidRPr="002C4667" w:rsidRDefault="00C64534" w:rsidP="008E0F0D">
      <w:pPr>
        <w:pStyle w:val="Heading2"/>
      </w:pPr>
      <w:r w:rsidRPr="002C4667">
        <w:t xml:space="preserve">Products Referenced by this </w:t>
      </w:r>
      <w:r w:rsidR="00501602" w:rsidRPr="002C4667">
        <w:t>Document</w:t>
      </w:r>
    </w:p>
    <w:p w14:paraId="5455152B" w14:textId="312DDF24" w:rsidR="008E0F0D" w:rsidRPr="002C4667" w:rsidRDefault="00D82D85" w:rsidP="008B73E8">
      <w:pPr>
        <w:pStyle w:val="BodyText"/>
      </w:pPr>
      <w:r w:rsidRPr="002C4667">
        <w:t xml:space="preserve">Drugs that are listed in the </w:t>
      </w:r>
      <w:r w:rsidR="000315F1" w:rsidRPr="002C4667">
        <w:t>following table</w:t>
      </w:r>
      <w:r w:rsidRPr="002C4667">
        <w:t xml:space="preserve"> include both brand and generic and all dosage forms and strengths unless otherwise stated. </w:t>
      </w:r>
      <w:r w:rsidR="00853C64">
        <w:t>Over-the-counter (</w:t>
      </w:r>
      <w:r w:rsidRPr="002C4667">
        <w:t>OTC</w:t>
      </w:r>
      <w:r w:rsidR="00853C64">
        <w:t>)</w:t>
      </w:r>
      <w:r w:rsidRPr="002C4667">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2C4667" w14:paraId="158421F8" w14:textId="77777777" w:rsidTr="03FA6AB9">
        <w:trPr>
          <w:cantSplit/>
          <w:trHeight w:val="288"/>
          <w:tblHeader/>
        </w:trPr>
        <w:tc>
          <w:tcPr>
            <w:tcW w:w="5265" w:type="dxa"/>
            <w:vAlign w:val="center"/>
          </w:tcPr>
          <w:p w14:paraId="2A27354A" w14:textId="1390179E" w:rsidR="00252CE1" w:rsidRPr="002C4667" w:rsidRDefault="00252CE1" w:rsidP="00AA1E6A">
            <w:pPr>
              <w:pStyle w:val="TableHeader"/>
            </w:pPr>
            <w:bookmarkStart w:id="0" w:name="_Hlk159603270"/>
            <w:r w:rsidRPr="002C4667">
              <w:t>Brand Name</w:t>
            </w:r>
          </w:p>
        </w:tc>
        <w:tc>
          <w:tcPr>
            <w:tcW w:w="5595" w:type="dxa"/>
            <w:vAlign w:val="center"/>
          </w:tcPr>
          <w:p w14:paraId="3D342BE1" w14:textId="75F11EF1" w:rsidR="00252CE1" w:rsidRPr="002C4667" w:rsidRDefault="00252CE1" w:rsidP="00AA1E6A">
            <w:pPr>
              <w:pStyle w:val="TableHeader"/>
            </w:pPr>
            <w:r w:rsidRPr="002C4667">
              <w:t>Generic Name</w:t>
            </w:r>
          </w:p>
        </w:tc>
      </w:tr>
      <w:tr w:rsidR="00585FFF" w:rsidRPr="002C4667" w14:paraId="2AD5C02D" w14:textId="77777777" w:rsidTr="03FA6AB9">
        <w:trPr>
          <w:cantSplit/>
        </w:trPr>
        <w:tc>
          <w:tcPr>
            <w:tcW w:w="5265" w:type="dxa"/>
          </w:tcPr>
          <w:p w14:paraId="2D8FA8E3" w14:textId="32E85AB6" w:rsidR="00585FFF" w:rsidRPr="002C4667" w:rsidRDefault="00AF3DB4" w:rsidP="00E82ABA">
            <w:pPr>
              <w:pStyle w:val="TableDataUnpadded"/>
            </w:pPr>
            <w:r w:rsidRPr="002C4667">
              <w:t>Gleevec</w:t>
            </w:r>
          </w:p>
        </w:tc>
        <w:tc>
          <w:tcPr>
            <w:tcW w:w="5595" w:type="dxa"/>
          </w:tcPr>
          <w:p w14:paraId="7E26A004" w14:textId="7978A385" w:rsidR="00585FFF" w:rsidRPr="002C4667" w:rsidRDefault="00AF3DB4" w:rsidP="00E82ABA">
            <w:pPr>
              <w:pStyle w:val="TableDataUnpadded"/>
            </w:pPr>
            <w:r w:rsidRPr="002C4667">
              <w:t>imatinib mesylate</w:t>
            </w:r>
          </w:p>
        </w:tc>
      </w:tr>
      <w:tr w:rsidR="00B74C96" w:rsidRPr="002C4667" w14:paraId="2E2A16C4" w14:textId="77777777" w:rsidTr="03FA6AB9">
        <w:trPr>
          <w:cantSplit/>
        </w:trPr>
        <w:tc>
          <w:tcPr>
            <w:tcW w:w="5265" w:type="dxa"/>
          </w:tcPr>
          <w:p w14:paraId="03C27066" w14:textId="48960ECC" w:rsidR="00B74C96" w:rsidRPr="002C4667" w:rsidRDefault="00B74C96" w:rsidP="00B74C96">
            <w:pPr>
              <w:pStyle w:val="TableDataUnpadded"/>
            </w:pPr>
            <w:proofErr w:type="spellStart"/>
            <w:r>
              <w:t>Imkeldi</w:t>
            </w:r>
            <w:proofErr w:type="spellEnd"/>
          </w:p>
        </w:tc>
        <w:tc>
          <w:tcPr>
            <w:tcW w:w="5595" w:type="dxa"/>
          </w:tcPr>
          <w:p w14:paraId="555EBA9E" w14:textId="3FC2762F" w:rsidR="00B74C96" w:rsidRPr="002C4667" w:rsidRDefault="00B74C96" w:rsidP="00B74C96">
            <w:pPr>
              <w:pStyle w:val="TableDataUnpadded"/>
            </w:pPr>
            <w:r>
              <w:t>imatinib</w:t>
            </w:r>
          </w:p>
        </w:tc>
      </w:tr>
    </w:tbl>
    <w:bookmarkEnd w:id="0"/>
    <w:p w14:paraId="14CE6108" w14:textId="5956BB73" w:rsidR="00FC1AAD" w:rsidRPr="002C4667" w:rsidRDefault="00ED052F" w:rsidP="00AA2A94">
      <w:pPr>
        <w:pStyle w:val="Heading2"/>
        <w:tabs>
          <w:tab w:val="left" w:pos="9540"/>
        </w:tabs>
      </w:pPr>
      <w:r w:rsidRPr="002C4667">
        <w:t>Indications</w:t>
      </w:r>
    </w:p>
    <w:p w14:paraId="1E9D5593" w14:textId="58FD490D" w:rsidR="00835FD5" w:rsidRPr="002C4667" w:rsidRDefault="00835FD5" w:rsidP="00835FD5">
      <w:pPr>
        <w:pStyle w:val="BodyText"/>
      </w:pPr>
      <w:r w:rsidRPr="002C4667">
        <w:t>The indications below including FDA-approved indications and compendial uses are considered a covered benefit provided that all the approval criteria are met and the member has no exclusions to the prescribed therapy.</w:t>
      </w:r>
    </w:p>
    <w:p w14:paraId="134B5687" w14:textId="18555A0B" w:rsidR="00ED052F" w:rsidRPr="002C4667" w:rsidRDefault="00ED052F" w:rsidP="00ED052F">
      <w:pPr>
        <w:pStyle w:val="Heading3"/>
        <w:keepNext w:val="0"/>
      </w:pPr>
      <w:r w:rsidRPr="002C4667">
        <w:t>FDA-</w:t>
      </w:r>
      <w:r w:rsidR="00C0341C">
        <w:t>A</w:t>
      </w:r>
      <w:r w:rsidRPr="002C4667">
        <w:t xml:space="preserve">pproved </w:t>
      </w:r>
      <w:r w:rsidR="00835FD5" w:rsidRPr="002C4667">
        <w:t>Indications</w:t>
      </w:r>
    </w:p>
    <w:p w14:paraId="151D4DA2" w14:textId="77777777" w:rsidR="00835FD5" w:rsidRPr="002C4667" w:rsidRDefault="00835FD5" w:rsidP="00835FD5">
      <w:pPr>
        <w:pStyle w:val="ListParagraph"/>
        <w:numPr>
          <w:ilvl w:val="0"/>
          <w:numId w:val="29"/>
        </w:numPr>
        <w:autoSpaceDE w:val="0"/>
        <w:autoSpaceDN w:val="0"/>
        <w:adjustRightInd w:val="0"/>
        <w:ind w:left="723"/>
        <w:textAlignment w:val="auto"/>
        <w:rPr>
          <w:bCs/>
        </w:rPr>
      </w:pPr>
      <w:r w:rsidRPr="002C4667">
        <w:t>Newly diagnosed adult and pediatric patients with Philadelphia chromosome positive chronic myeloid leukemia (Ph+ CML) in chronic phase</w:t>
      </w:r>
    </w:p>
    <w:p w14:paraId="20380BE8" w14:textId="77777777" w:rsidR="00835FD5" w:rsidRPr="002C4667" w:rsidRDefault="00835FD5" w:rsidP="00835FD5">
      <w:pPr>
        <w:pStyle w:val="ListParagraph"/>
        <w:numPr>
          <w:ilvl w:val="0"/>
          <w:numId w:val="29"/>
        </w:numPr>
        <w:autoSpaceDE w:val="0"/>
        <w:autoSpaceDN w:val="0"/>
        <w:adjustRightInd w:val="0"/>
        <w:ind w:left="723"/>
        <w:textAlignment w:val="auto"/>
        <w:rPr>
          <w:bCs/>
        </w:rPr>
      </w:pPr>
      <w:r w:rsidRPr="002C4667">
        <w:t>Patients with Ph+ CML in blast crisis, accelerated phase, or in chronic phase after failure of interferon-alpha therapy</w:t>
      </w:r>
    </w:p>
    <w:p w14:paraId="212D84C5" w14:textId="77777777" w:rsidR="00835FD5" w:rsidRPr="002C4667" w:rsidRDefault="00835FD5" w:rsidP="00835FD5">
      <w:pPr>
        <w:pStyle w:val="ListParagraph"/>
        <w:numPr>
          <w:ilvl w:val="0"/>
          <w:numId w:val="29"/>
        </w:numPr>
        <w:autoSpaceDE w:val="0"/>
        <w:autoSpaceDN w:val="0"/>
        <w:adjustRightInd w:val="0"/>
        <w:ind w:left="723"/>
        <w:textAlignment w:val="auto"/>
        <w:rPr>
          <w:bCs/>
        </w:rPr>
      </w:pPr>
      <w:r w:rsidRPr="002C4667">
        <w:t>Adult patients with relapsed or refractory Philadelphia chromosome positive acute lymphoblastic leukemia (Ph+ ALL)</w:t>
      </w:r>
    </w:p>
    <w:p w14:paraId="6A4B49F6" w14:textId="77777777" w:rsidR="00835FD5" w:rsidRPr="002C4667" w:rsidRDefault="00835FD5" w:rsidP="00835FD5">
      <w:pPr>
        <w:pStyle w:val="ListParagraph"/>
        <w:numPr>
          <w:ilvl w:val="0"/>
          <w:numId w:val="29"/>
        </w:numPr>
        <w:autoSpaceDE w:val="0"/>
        <w:autoSpaceDN w:val="0"/>
        <w:adjustRightInd w:val="0"/>
        <w:ind w:left="723"/>
        <w:textAlignment w:val="auto"/>
        <w:rPr>
          <w:bCs/>
        </w:rPr>
      </w:pPr>
      <w:r w:rsidRPr="002C4667">
        <w:t>Pediatric patients with newly diagnosed Ph+ ALL in combination with chemotherapy</w:t>
      </w:r>
    </w:p>
    <w:p w14:paraId="65615EBF" w14:textId="77777777" w:rsidR="00835FD5" w:rsidRPr="002C4667" w:rsidRDefault="00835FD5" w:rsidP="00835FD5">
      <w:pPr>
        <w:pStyle w:val="ListParagraph"/>
        <w:numPr>
          <w:ilvl w:val="0"/>
          <w:numId w:val="29"/>
        </w:numPr>
        <w:autoSpaceDE w:val="0"/>
        <w:autoSpaceDN w:val="0"/>
        <w:adjustRightInd w:val="0"/>
        <w:ind w:left="723"/>
        <w:textAlignment w:val="auto"/>
        <w:rPr>
          <w:bCs/>
        </w:rPr>
      </w:pPr>
      <w:r w:rsidRPr="002C4667">
        <w:t>Adult patients with myelodysplastic/myeloproliferative diseases (MDS/MPD) associated with PDGFR (platelet-derived growth factor receptor) gene re-arrangements</w:t>
      </w:r>
    </w:p>
    <w:p w14:paraId="637CB34E" w14:textId="77777777" w:rsidR="00835FD5" w:rsidRPr="002C4667" w:rsidRDefault="00835FD5" w:rsidP="00835FD5">
      <w:pPr>
        <w:pStyle w:val="ListParagraph"/>
        <w:numPr>
          <w:ilvl w:val="0"/>
          <w:numId w:val="29"/>
        </w:numPr>
        <w:autoSpaceDE w:val="0"/>
        <w:autoSpaceDN w:val="0"/>
        <w:adjustRightInd w:val="0"/>
        <w:ind w:left="723"/>
        <w:textAlignment w:val="auto"/>
        <w:rPr>
          <w:bCs/>
        </w:rPr>
      </w:pPr>
      <w:r w:rsidRPr="002C4667">
        <w:t xml:space="preserve">Adult patients with aggressive systemic </w:t>
      </w:r>
      <w:proofErr w:type="spellStart"/>
      <w:r w:rsidRPr="002C4667">
        <w:t>mastocytosis</w:t>
      </w:r>
      <w:proofErr w:type="spellEnd"/>
      <w:r w:rsidRPr="002C4667">
        <w:t xml:space="preserve"> without the D816V c-Kit mutation or with c-Kit mutational status unknown</w:t>
      </w:r>
    </w:p>
    <w:p w14:paraId="41F7A315" w14:textId="77777777" w:rsidR="00835FD5" w:rsidRPr="002C4667" w:rsidRDefault="00835FD5" w:rsidP="00835FD5">
      <w:pPr>
        <w:pStyle w:val="ListParagraph"/>
        <w:numPr>
          <w:ilvl w:val="0"/>
          <w:numId w:val="29"/>
        </w:numPr>
        <w:autoSpaceDE w:val="0"/>
        <w:autoSpaceDN w:val="0"/>
        <w:adjustRightInd w:val="0"/>
        <w:ind w:left="723"/>
        <w:textAlignment w:val="auto"/>
        <w:rPr>
          <w:bCs/>
        </w:rPr>
      </w:pPr>
      <w:r w:rsidRPr="002C4667">
        <w:lastRenderedPageBreak/>
        <w:t xml:space="preserve">Adult patients with </w:t>
      </w:r>
      <w:proofErr w:type="spellStart"/>
      <w:r w:rsidRPr="002C4667">
        <w:t>hypereosinophilic</w:t>
      </w:r>
      <w:proofErr w:type="spellEnd"/>
      <w:r w:rsidRPr="002C4667">
        <w:t xml:space="preserve"> syndrome (HES) and/or chronic eosinophilic leukemia (CEL) who have the FIP1L1-PDGFR</w:t>
      </w:r>
      <w:r w:rsidRPr="002C4667">
        <w:rPr>
          <w:rFonts w:ascii="Calibri" w:hAnsi="Calibri" w:cs="Calibri"/>
        </w:rPr>
        <w:t>α</w:t>
      </w:r>
      <w:r w:rsidRPr="002C4667">
        <w:t xml:space="preserve"> fusion kinase (mutational analysis or FISH demonstration of CHIC2 allele deletion) and for patients with HES and/or CEL who are FIP1L1-PDGFR</w:t>
      </w:r>
      <w:r w:rsidRPr="002C4667">
        <w:rPr>
          <w:rFonts w:ascii="Calibri" w:hAnsi="Calibri" w:cs="Calibri"/>
        </w:rPr>
        <w:t>α</w:t>
      </w:r>
      <w:r w:rsidRPr="002C4667">
        <w:t xml:space="preserve"> fusion kinase negative or unknown</w:t>
      </w:r>
    </w:p>
    <w:p w14:paraId="54383E1C" w14:textId="77777777" w:rsidR="00835FD5" w:rsidRPr="002C4667" w:rsidRDefault="00835FD5" w:rsidP="00835FD5">
      <w:pPr>
        <w:pStyle w:val="ListParagraph"/>
        <w:numPr>
          <w:ilvl w:val="0"/>
          <w:numId w:val="29"/>
        </w:numPr>
        <w:autoSpaceDE w:val="0"/>
        <w:autoSpaceDN w:val="0"/>
        <w:adjustRightInd w:val="0"/>
        <w:ind w:left="723"/>
        <w:textAlignment w:val="auto"/>
        <w:rPr>
          <w:bCs/>
        </w:rPr>
      </w:pPr>
      <w:r w:rsidRPr="002C4667">
        <w:t>Adult patients with unresectable, recurrent and/or metastatic dermatofibrosarcoma protuberans (DFSP)</w:t>
      </w:r>
    </w:p>
    <w:p w14:paraId="0C17BD96" w14:textId="77777777" w:rsidR="00835FD5" w:rsidRPr="002C4667" w:rsidRDefault="00835FD5" w:rsidP="00835FD5">
      <w:pPr>
        <w:pStyle w:val="ListParagraph"/>
        <w:numPr>
          <w:ilvl w:val="0"/>
          <w:numId w:val="29"/>
        </w:numPr>
        <w:autoSpaceDE w:val="0"/>
        <w:autoSpaceDN w:val="0"/>
        <w:adjustRightInd w:val="0"/>
        <w:ind w:left="723"/>
        <w:textAlignment w:val="auto"/>
        <w:rPr>
          <w:bCs/>
        </w:rPr>
      </w:pPr>
      <w:r w:rsidRPr="002C4667">
        <w:t>Patients with Kit (CD117) positive unresectable and/or metastatic malignant gastrointestinal stromal tumors (GIST)</w:t>
      </w:r>
    </w:p>
    <w:p w14:paraId="3058A5F8" w14:textId="4C02377E" w:rsidR="005C778C" w:rsidRPr="002C4667" w:rsidRDefault="00835FD5" w:rsidP="00835FD5">
      <w:pPr>
        <w:pStyle w:val="ListParagraph"/>
        <w:numPr>
          <w:ilvl w:val="0"/>
          <w:numId w:val="29"/>
        </w:numPr>
        <w:autoSpaceDE w:val="0"/>
        <w:autoSpaceDN w:val="0"/>
        <w:adjustRightInd w:val="0"/>
        <w:ind w:left="723"/>
        <w:textAlignment w:val="auto"/>
        <w:rPr>
          <w:bCs/>
        </w:rPr>
      </w:pPr>
      <w:r w:rsidRPr="002C4667">
        <w:t>Adjuvant treatment of adult patients following complete gross resection of Kit (CD117) positive GIST</w:t>
      </w:r>
    </w:p>
    <w:p w14:paraId="0B5EC236" w14:textId="75D8F5A5" w:rsidR="0044763A" w:rsidRPr="002C4667" w:rsidRDefault="009F2EF1" w:rsidP="0044763A">
      <w:pPr>
        <w:pStyle w:val="Heading3"/>
      </w:pPr>
      <w:r w:rsidRPr="002C4667">
        <w:t xml:space="preserve">Compendial </w:t>
      </w:r>
      <w:r w:rsidR="00B74C96" w:rsidRPr="002C4667">
        <w:t>Uses</w:t>
      </w:r>
    </w:p>
    <w:p w14:paraId="38E5F4D8" w14:textId="77777777" w:rsidR="00835FD5" w:rsidRPr="002C4667" w:rsidRDefault="00835FD5" w:rsidP="00835FD5">
      <w:pPr>
        <w:pStyle w:val="ListParagraph"/>
      </w:pPr>
      <w:r w:rsidRPr="002C4667">
        <w:t>Primary treatment of advanced phase CML (accelerated phase or blast phase)</w:t>
      </w:r>
    </w:p>
    <w:p w14:paraId="68EEE7D8" w14:textId="77777777" w:rsidR="00835FD5" w:rsidRPr="002C4667" w:rsidRDefault="00835FD5" w:rsidP="00835FD5">
      <w:pPr>
        <w:pStyle w:val="ListParagraph"/>
      </w:pPr>
      <w:r w:rsidRPr="002C4667">
        <w:t>Additional therapy for CML patients after hematopoietic stem cell transplant (HSCT)</w:t>
      </w:r>
    </w:p>
    <w:p w14:paraId="30414075" w14:textId="77777777" w:rsidR="00835FD5" w:rsidRPr="002C4667" w:rsidRDefault="00835FD5" w:rsidP="00835FD5">
      <w:pPr>
        <w:pStyle w:val="ListParagraph"/>
      </w:pPr>
      <w:bookmarkStart w:id="1" w:name="_Hlk101215300"/>
      <w:r w:rsidRPr="002C4667">
        <w:t>Ph+ B-cell acute lymphoblastic leukemia or lymphoblastic lymphoma (Ph+ B-ALL/LL)</w:t>
      </w:r>
    </w:p>
    <w:bookmarkEnd w:id="1"/>
    <w:p w14:paraId="52528D10" w14:textId="77777777" w:rsidR="00835FD5" w:rsidRPr="002C4667" w:rsidRDefault="00835FD5" w:rsidP="00835FD5">
      <w:pPr>
        <w:pStyle w:val="ListParagraph"/>
      </w:pPr>
      <w:r w:rsidRPr="002C4667">
        <w:t>Maintenance therapy for Ph+ B-ALL/LL patients after HSCT</w:t>
      </w:r>
    </w:p>
    <w:p w14:paraId="43FA805F" w14:textId="0437072A" w:rsidR="00835FD5" w:rsidRPr="002C4667" w:rsidRDefault="00835FD5" w:rsidP="00835FD5">
      <w:pPr>
        <w:pStyle w:val="ListParagraph"/>
      </w:pPr>
      <w:r w:rsidRPr="002C4667">
        <w:t>GIST</w:t>
      </w:r>
    </w:p>
    <w:p w14:paraId="7C1B8304" w14:textId="77777777" w:rsidR="00835FD5" w:rsidRPr="002C4667" w:rsidRDefault="00835FD5" w:rsidP="00835FD5">
      <w:pPr>
        <w:pStyle w:val="ListParagraph"/>
      </w:pPr>
      <w:r w:rsidRPr="002C4667">
        <w:t>Desmoid tumors</w:t>
      </w:r>
    </w:p>
    <w:p w14:paraId="467E2DBC" w14:textId="77777777" w:rsidR="00835FD5" w:rsidRPr="002C4667" w:rsidRDefault="00835FD5" w:rsidP="00835FD5">
      <w:pPr>
        <w:pStyle w:val="ListParagraph"/>
      </w:pPr>
      <w:r w:rsidRPr="002C4667">
        <w:t>Pigmented villonodular synovitis/</w:t>
      </w:r>
      <w:proofErr w:type="spellStart"/>
      <w:r w:rsidRPr="002C4667">
        <w:t>tenosynovial</w:t>
      </w:r>
      <w:proofErr w:type="spellEnd"/>
      <w:r w:rsidRPr="002C4667">
        <w:t xml:space="preserve"> giant cell tumor</w:t>
      </w:r>
    </w:p>
    <w:p w14:paraId="71AD53BE" w14:textId="77777777" w:rsidR="00835FD5" w:rsidRPr="002C4667" w:rsidRDefault="00835FD5" w:rsidP="00835FD5">
      <w:pPr>
        <w:pStyle w:val="ListParagraph"/>
      </w:pPr>
      <w:r w:rsidRPr="002C4667">
        <w:t>Recurrent chordoma</w:t>
      </w:r>
    </w:p>
    <w:p w14:paraId="2172A70C" w14:textId="4E1A8F47" w:rsidR="00835FD5" w:rsidRPr="002C4667" w:rsidRDefault="00835FD5" w:rsidP="00835FD5">
      <w:pPr>
        <w:pStyle w:val="ListParagraph"/>
      </w:pPr>
      <w:r w:rsidRPr="002C4667">
        <w:t>Cutaneous melanoma</w:t>
      </w:r>
    </w:p>
    <w:p w14:paraId="467F3720" w14:textId="77777777" w:rsidR="00835FD5" w:rsidRPr="002C4667" w:rsidRDefault="00835FD5" w:rsidP="00835FD5">
      <w:pPr>
        <w:pStyle w:val="ListParagraph"/>
      </w:pPr>
      <w:r w:rsidRPr="002C4667">
        <w:t>Kaposi sarcoma that has progressed on or not responded to first-line systemic therapy</w:t>
      </w:r>
    </w:p>
    <w:p w14:paraId="19729035" w14:textId="6BF77965" w:rsidR="00835FD5" w:rsidRPr="002C4667" w:rsidRDefault="00835FD5" w:rsidP="00835FD5">
      <w:pPr>
        <w:pStyle w:val="ListParagraph"/>
      </w:pPr>
      <w:r w:rsidRPr="002C4667">
        <w:t>Chronic myelomonocytic leukemia</w:t>
      </w:r>
    </w:p>
    <w:p w14:paraId="5B1302F7" w14:textId="77777777" w:rsidR="00835FD5" w:rsidRPr="002C4667" w:rsidRDefault="00835FD5" w:rsidP="00835FD5">
      <w:pPr>
        <w:pStyle w:val="ListParagraph"/>
      </w:pPr>
      <w:r w:rsidRPr="002C4667">
        <w:t>Chronic graft versus host disease</w:t>
      </w:r>
    </w:p>
    <w:p w14:paraId="0365A30A" w14:textId="77777777" w:rsidR="00835FD5" w:rsidRPr="002C4667" w:rsidRDefault="00835FD5" w:rsidP="00835FD5">
      <w:pPr>
        <w:pStyle w:val="ListParagraph"/>
      </w:pPr>
      <w:r w:rsidRPr="002C4667">
        <w:t>Relapsed or refractory pediatric T-cell ALL/LL with ABL-class translocation</w:t>
      </w:r>
    </w:p>
    <w:p w14:paraId="6D2C59EC" w14:textId="77777777" w:rsidR="00835FD5" w:rsidRPr="002C4667" w:rsidRDefault="00835FD5" w:rsidP="00835FD5">
      <w:pPr>
        <w:pStyle w:val="ListParagraph"/>
      </w:pPr>
      <w:r w:rsidRPr="002C4667">
        <w:t>Myeloid/lymphoid neoplasms with eosinophilia and the ABL1, FIP1L1::PDGFRA, or PDGFRB rearrangement in chronic phase or blast phase</w:t>
      </w:r>
    </w:p>
    <w:p w14:paraId="5982A1C7" w14:textId="77777777" w:rsidR="00835FD5" w:rsidRPr="002C4667" w:rsidRDefault="00835FD5" w:rsidP="00835FD5">
      <w:pPr>
        <w:pStyle w:val="ListParagraph"/>
      </w:pPr>
      <w:r w:rsidRPr="002C4667">
        <w:t xml:space="preserve">Aggressive Systemic </w:t>
      </w:r>
      <w:proofErr w:type="spellStart"/>
      <w:r w:rsidRPr="002C4667">
        <w:t>Mastocytosis</w:t>
      </w:r>
      <w:proofErr w:type="spellEnd"/>
      <w:r w:rsidRPr="002C4667">
        <w:t xml:space="preserve"> (ASM)</w:t>
      </w:r>
    </w:p>
    <w:p w14:paraId="1F11EA6A" w14:textId="5E7B8907" w:rsidR="009A5649" w:rsidRPr="002C4667" w:rsidRDefault="00835FD5" w:rsidP="001B43B6">
      <w:pPr>
        <w:pStyle w:val="ListParagraph"/>
        <w:spacing w:after="120"/>
      </w:pPr>
      <w:r w:rsidRPr="002C4667">
        <w:t>Dermatofibrosarcoma Protuberans (DFSP)</w:t>
      </w:r>
    </w:p>
    <w:p w14:paraId="0D5A9DD5" w14:textId="0FF91965" w:rsidR="009A5649" w:rsidRPr="002C4667" w:rsidRDefault="009A5649" w:rsidP="003506A2">
      <w:pPr>
        <w:pStyle w:val="BodyText"/>
        <w:spacing w:after="0"/>
        <w:rPr>
          <w:rFonts w:eastAsia="Arial"/>
        </w:rPr>
      </w:pPr>
      <w:r w:rsidRPr="002C4667">
        <w:t xml:space="preserve">All other indications are considered experimental/investigational and </w:t>
      </w:r>
      <w:r w:rsidRPr="002C4667">
        <w:rPr>
          <w:rFonts w:eastAsia="Arial"/>
        </w:rPr>
        <w:t>not medically necessary.</w:t>
      </w:r>
    </w:p>
    <w:p w14:paraId="36381B6D" w14:textId="0CA9455E" w:rsidR="000D2496" w:rsidRPr="002C4667" w:rsidRDefault="000D2496" w:rsidP="000D2496">
      <w:pPr>
        <w:pStyle w:val="Heading2"/>
      </w:pPr>
      <w:r w:rsidRPr="002C4667">
        <w:t>Documentation</w:t>
      </w:r>
    </w:p>
    <w:p w14:paraId="2180ED6E" w14:textId="624FFB5A" w:rsidR="000D2496" w:rsidRPr="002C4667" w:rsidRDefault="003D4DB2" w:rsidP="000D2496">
      <w:pPr>
        <w:pStyle w:val="BodyText"/>
      </w:pPr>
      <w:r w:rsidRPr="002C4667">
        <w:t>The following information is necessary to initiate the prior authorization review</w:t>
      </w:r>
      <w:r w:rsidR="003506A2">
        <w:t>:</w:t>
      </w:r>
    </w:p>
    <w:p w14:paraId="0F5EF008" w14:textId="77777777" w:rsidR="003D4DB2" w:rsidRPr="002C4667" w:rsidRDefault="003D4DB2" w:rsidP="003506A2">
      <w:pPr>
        <w:pStyle w:val="ListParagraph"/>
        <w:widowControl w:val="0"/>
        <w:numPr>
          <w:ilvl w:val="0"/>
          <w:numId w:val="32"/>
        </w:numPr>
        <w:ind w:left="720" w:hanging="357"/>
        <w:textAlignment w:val="auto"/>
      </w:pPr>
      <w:r w:rsidRPr="002C4667">
        <w:t>For treatment of CML or Ph+ ALL/LL: results of cytogenetic and/or molecular testing for detection of the Ph chromosome or the BCR::ABL gene.</w:t>
      </w:r>
    </w:p>
    <w:p w14:paraId="482B11D0" w14:textId="77777777" w:rsidR="003D4DB2" w:rsidRPr="002C4667" w:rsidRDefault="003D4DB2" w:rsidP="003D4DB2">
      <w:pPr>
        <w:pStyle w:val="ListParagraph"/>
        <w:numPr>
          <w:ilvl w:val="0"/>
          <w:numId w:val="32"/>
        </w:numPr>
        <w:ind w:left="723"/>
        <w:textAlignment w:val="auto"/>
      </w:pPr>
      <w:r w:rsidRPr="002C4667">
        <w:t>For treatment of T-cell ALL/LL: results of cytogenetic and/or molecular testing confirming ABL-class translocation</w:t>
      </w:r>
    </w:p>
    <w:p w14:paraId="3757272A" w14:textId="77777777" w:rsidR="003D4DB2" w:rsidRPr="002C4667" w:rsidRDefault="003D4DB2" w:rsidP="003D4DB2">
      <w:pPr>
        <w:pStyle w:val="ListParagraph"/>
        <w:numPr>
          <w:ilvl w:val="0"/>
          <w:numId w:val="32"/>
        </w:numPr>
        <w:ind w:left="723"/>
        <w:textAlignment w:val="auto"/>
      </w:pPr>
      <w:r w:rsidRPr="002C4667">
        <w:t>For treatment of MDS/MPD and CMML: results of molecular testing or analysis confirming PDGFR gene rearrangement</w:t>
      </w:r>
    </w:p>
    <w:p w14:paraId="25863E7E" w14:textId="77777777" w:rsidR="003D4DB2" w:rsidRPr="002C4667" w:rsidRDefault="003D4DB2" w:rsidP="003D4DB2">
      <w:pPr>
        <w:pStyle w:val="ListParagraph"/>
        <w:numPr>
          <w:ilvl w:val="0"/>
          <w:numId w:val="32"/>
        </w:numPr>
        <w:ind w:left="723"/>
        <w:textAlignment w:val="auto"/>
      </w:pPr>
      <w:r w:rsidRPr="002C4667">
        <w:lastRenderedPageBreak/>
        <w:t xml:space="preserve">For the treatment of ASM: results of molecular testing or analysis for D816V c-KIT mutation and </w:t>
      </w:r>
      <w:r w:rsidRPr="002C4667">
        <w:rPr>
          <w:bCs/>
        </w:rPr>
        <w:t>FIP1L1::PDGFRA fusion gene (where applicable)</w:t>
      </w:r>
    </w:p>
    <w:p w14:paraId="7357F221" w14:textId="77777777" w:rsidR="003D4DB2" w:rsidRPr="002C4667" w:rsidRDefault="003D4DB2" w:rsidP="003D4DB2">
      <w:pPr>
        <w:pStyle w:val="ListParagraph"/>
        <w:numPr>
          <w:ilvl w:val="0"/>
          <w:numId w:val="32"/>
        </w:numPr>
        <w:ind w:left="723"/>
        <w:textAlignment w:val="auto"/>
      </w:pPr>
      <w:r w:rsidRPr="002C4667">
        <w:t>For treatment of melanoma: results of molecular testing or analysis confirming c-KIT activating mutation</w:t>
      </w:r>
    </w:p>
    <w:p w14:paraId="5D4CD6F7" w14:textId="576FB3F7" w:rsidR="00021C51" w:rsidRPr="002C4667" w:rsidRDefault="003D4DB2" w:rsidP="003D4DB2">
      <w:pPr>
        <w:pStyle w:val="ListParagraph"/>
        <w:numPr>
          <w:ilvl w:val="0"/>
          <w:numId w:val="32"/>
        </w:numPr>
        <w:ind w:left="723"/>
        <w:textAlignment w:val="auto"/>
      </w:pPr>
      <w:r w:rsidRPr="002C4667">
        <w:t xml:space="preserve">For treatment of myeloid and/or lymphoid neoplasms with eosinophilia: results of testing or analysis confirming ABL1, </w:t>
      </w:r>
      <w:r w:rsidRPr="002C4667">
        <w:rPr>
          <w:bCs/>
        </w:rPr>
        <w:t>FIP1L1::PDGFRA, or PDGFRB rearrangement</w:t>
      </w:r>
    </w:p>
    <w:p w14:paraId="50A38FBA" w14:textId="410B4A6C" w:rsidR="00FE0C63" w:rsidRPr="002C4667" w:rsidRDefault="00685107" w:rsidP="00E050E1">
      <w:pPr>
        <w:pStyle w:val="Heading2"/>
      </w:pPr>
      <w:r w:rsidRPr="002C4667">
        <w:t>Coverage Criteria</w:t>
      </w:r>
    </w:p>
    <w:p w14:paraId="0913E4AD" w14:textId="44335E6F" w:rsidR="00E645CB" w:rsidRPr="002C4667" w:rsidRDefault="00E645CB" w:rsidP="00E645CB">
      <w:pPr>
        <w:pStyle w:val="Heading3"/>
      </w:pPr>
      <w:r w:rsidRPr="002C4667">
        <w:t>Chronic Myeloid Leukemia (CML)</w:t>
      </w:r>
    </w:p>
    <w:p w14:paraId="1F240DB7" w14:textId="07D2D7B4" w:rsidR="00E645CB" w:rsidRPr="002C4667" w:rsidRDefault="00E645CB" w:rsidP="00E645CB">
      <w:pPr>
        <w:pStyle w:val="BodyText"/>
      </w:pPr>
      <w:r w:rsidRPr="002C4667">
        <w:t>Authorization of 7 months may be granted for treatment of CML that has been confirmed by detection of the Ph chromosome or BCR::ABL gene by cytogenetic and/or molecular testing when the member did not fail (other than due to intolerance) prior therapy with a TKI (e.g., dasatinib, nilotinib, bosutinib, ponatinib).</w:t>
      </w:r>
    </w:p>
    <w:p w14:paraId="452EEDB6" w14:textId="2518D1BF" w:rsidR="00E645CB" w:rsidRPr="002C4667" w:rsidRDefault="00E645CB" w:rsidP="00E645CB">
      <w:pPr>
        <w:pStyle w:val="Heading3"/>
      </w:pPr>
      <w:r w:rsidRPr="002C4667">
        <w:t>Acute Lymphoblastic Leukemia (ALL)/Lymphoblastic Lymphoma (LL)</w:t>
      </w:r>
    </w:p>
    <w:p w14:paraId="34623CDA" w14:textId="77777777" w:rsidR="00E645CB" w:rsidRPr="002C4667" w:rsidRDefault="00E645CB" w:rsidP="00E645CB">
      <w:pPr>
        <w:pStyle w:val="BodyText"/>
      </w:pPr>
      <w:r w:rsidRPr="002C4667">
        <w:t>Authorization of 12 months may be granted for treatment of ALL/LL when any of the following criteria is met:</w:t>
      </w:r>
    </w:p>
    <w:p w14:paraId="37C559F4" w14:textId="77777777" w:rsidR="00E645CB" w:rsidRPr="002C4667" w:rsidRDefault="00E645CB" w:rsidP="008879ED">
      <w:pPr>
        <w:pStyle w:val="ListParagraph"/>
        <w:numPr>
          <w:ilvl w:val="4"/>
          <w:numId w:val="34"/>
        </w:numPr>
        <w:ind w:left="723"/>
        <w:textAlignment w:val="auto"/>
      </w:pPr>
      <w:r w:rsidRPr="002C4667">
        <w:t>Member has Ph+ ALL/LL that has been confirmed by detection of the Ph chromosome or BCR::ABL gene by cytogenetic and/or molecular testing</w:t>
      </w:r>
    </w:p>
    <w:p w14:paraId="2918A88E" w14:textId="77777777" w:rsidR="00E645CB" w:rsidRPr="002C4667" w:rsidRDefault="00E645CB" w:rsidP="008879ED">
      <w:pPr>
        <w:pStyle w:val="ListParagraph"/>
        <w:numPr>
          <w:ilvl w:val="4"/>
          <w:numId w:val="34"/>
        </w:numPr>
        <w:ind w:left="723"/>
        <w:textAlignment w:val="auto"/>
      </w:pPr>
      <w:r w:rsidRPr="002C4667">
        <w:t>Member has T-cell ALL/LL with ABL-class translocation that has been confirmed by cytogenetic and/or molecular testing and the disease is relapsed or refractory</w:t>
      </w:r>
    </w:p>
    <w:p w14:paraId="533B20E7" w14:textId="6E84C6A9" w:rsidR="00E645CB" w:rsidRPr="002C4667" w:rsidRDefault="00E645CB" w:rsidP="008879ED">
      <w:pPr>
        <w:pStyle w:val="ListParagraph"/>
        <w:numPr>
          <w:ilvl w:val="4"/>
          <w:numId w:val="34"/>
        </w:numPr>
        <w:ind w:left="723"/>
        <w:textAlignment w:val="auto"/>
      </w:pPr>
      <w:r w:rsidRPr="002C4667">
        <w:t>Member has received HSCT for Ph+ ALL/LL</w:t>
      </w:r>
    </w:p>
    <w:p w14:paraId="1E6A32F5" w14:textId="76DD5BD4" w:rsidR="00E645CB" w:rsidRPr="002C4667" w:rsidRDefault="00E645CB" w:rsidP="003506A2">
      <w:pPr>
        <w:pStyle w:val="Heading3"/>
        <w:keepNext w:val="0"/>
        <w:keepLines w:val="0"/>
        <w:widowControl w:val="0"/>
      </w:pPr>
      <w:r w:rsidRPr="002C4667">
        <w:t>Gastrointestinal Stromal Tumor (GIST), Desmoid Tumors, Pigmented Villonodular Synovitis/</w:t>
      </w:r>
      <w:proofErr w:type="spellStart"/>
      <w:r w:rsidRPr="002C4667">
        <w:t>Tenosynovial</w:t>
      </w:r>
      <w:proofErr w:type="spellEnd"/>
      <w:r w:rsidRPr="002C4667">
        <w:t xml:space="preserve"> Giant Cell Tumor (PVNS/TGCT), </w:t>
      </w:r>
      <w:proofErr w:type="spellStart"/>
      <w:r w:rsidRPr="002C4667">
        <w:t>Hypereosinophilic</w:t>
      </w:r>
      <w:proofErr w:type="spellEnd"/>
      <w:r w:rsidRPr="002C4667">
        <w:t xml:space="preserve"> Syndrome/Chronic Eosinophilic Leukemia (HES/CEL), Dermatofibrosarcoma Protuberans (DFSP), Chordoma</w:t>
      </w:r>
    </w:p>
    <w:p w14:paraId="6C419481" w14:textId="60029263" w:rsidR="00E645CB" w:rsidRPr="002C4667" w:rsidRDefault="00E645CB" w:rsidP="003506A2">
      <w:pPr>
        <w:pStyle w:val="BodyText"/>
        <w:widowControl w:val="0"/>
        <w:rPr>
          <w:b/>
        </w:rPr>
      </w:pPr>
      <w:r w:rsidRPr="002C4667">
        <w:t>Authorization of 12 months may be granted for treatment of GIST, desmoid tumors, PVNS/TGCT, HES/CEL, DFSP, or recurrent chordoma.</w:t>
      </w:r>
    </w:p>
    <w:p w14:paraId="2AEAFBFF" w14:textId="69763508" w:rsidR="00E645CB" w:rsidRPr="002C4667" w:rsidRDefault="00E645CB" w:rsidP="00E645CB">
      <w:pPr>
        <w:pStyle w:val="Heading3"/>
      </w:pPr>
      <w:r w:rsidRPr="002C4667">
        <w:t>Myelodysplastic Syndromes/Myeloproliferative Diseases (MDS/MPD) and Chronic Myelomonocytic Leukemia (CMML)</w:t>
      </w:r>
    </w:p>
    <w:p w14:paraId="7FE62A83" w14:textId="2E5E4113" w:rsidR="00E645CB" w:rsidRPr="002C4667" w:rsidRDefault="00E645CB" w:rsidP="00E645CB">
      <w:pPr>
        <w:pStyle w:val="BodyText"/>
      </w:pPr>
      <w:r w:rsidRPr="002C4667">
        <w:t>Authorization of 12 months may be granted for treatment of MDS/MPD or CMML when the member’s disease is associated with PDGFR (platelet-derived growth factor receptor) gene rearrangements.</w:t>
      </w:r>
    </w:p>
    <w:p w14:paraId="3BF9DC26" w14:textId="53471825" w:rsidR="00E645CB" w:rsidRPr="002C4667" w:rsidRDefault="00E645CB" w:rsidP="00E645CB">
      <w:pPr>
        <w:pStyle w:val="Heading3"/>
      </w:pPr>
      <w:r w:rsidRPr="002C4667">
        <w:lastRenderedPageBreak/>
        <w:t xml:space="preserve">Aggressive Systemic </w:t>
      </w:r>
      <w:proofErr w:type="spellStart"/>
      <w:r w:rsidRPr="002C4667">
        <w:t>Mastocytosis</w:t>
      </w:r>
      <w:proofErr w:type="spellEnd"/>
      <w:r w:rsidRPr="002C4667">
        <w:t xml:space="preserve"> (ASM)</w:t>
      </w:r>
    </w:p>
    <w:p w14:paraId="7B7F81AE" w14:textId="77777777" w:rsidR="00E645CB" w:rsidRPr="002C4667" w:rsidRDefault="00E645CB" w:rsidP="00E645CB">
      <w:pPr>
        <w:pStyle w:val="BodyText"/>
      </w:pPr>
      <w:r w:rsidRPr="002C4667">
        <w:t>Authorization of 12 months may be granted for treatment of ASM, as a single agent, when any of the following criteria is met:</w:t>
      </w:r>
    </w:p>
    <w:p w14:paraId="659EF548" w14:textId="316A865C" w:rsidR="00E645CB" w:rsidRPr="002C4667" w:rsidRDefault="00E645CB" w:rsidP="008879ED">
      <w:pPr>
        <w:pStyle w:val="ListParagraph"/>
        <w:numPr>
          <w:ilvl w:val="4"/>
          <w:numId w:val="35"/>
        </w:numPr>
        <w:autoSpaceDE w:val="0"/>
        <w:autoSpaceDN w:val="0"/>
        <w:adjustRightInd w:val="0"/>
        <w:ind w:left="723"/>
        <w:textAlignment w:val="auto"/>
        <w:rPr>
          <w:bCs/>
        </w:rPr>
      </w:pPr>
      <w:r w:rsidRPr="002C4667">
        <w:t>D816V c-KIT mutation is negative</w:t>
      </w:r>
    </w:p>
    <w:p w14:paraId="1E34BBC7" w14:textId="77777777" w:rsidR="00E645CB" w:rsidRPr="002C4667" w:rsidRDefault="00E645CB" w:rsidP="008879ED">
      <w:pPr>
        <w:pStyle w:val="ListParagraph"/>
        <w:numPr>
          <w:ilvl w:val="4"/>
          <w:numId w:val="35"/>
        </w:numPr>
        <w:autoSpaceDE w:val="0"/>
        <w:autoSpaceDN w:val="0"/>
        <w:adjustRightInd w:val="0"/>
        <w:ind w:left="723"/>
        <w:textAlignment w:val="auto"/>
        <w:rPr>
          <w:bCs/>
        </w:rPr>
      </w:pPr>
      <w:r w:rsidRPr="002C4667">
        <w:t>D816V c-KIT mutation status is unknown</w:t>
      </w:r>
    </w:p>
    <w:p w14:paraId="681474FE" w14:textId="77777777" w:rsidR="00E645CB" w:rsidRPr="002C4667" w:rsidRDefault="00E645CB" w:rsidP="008879ED">
      <w:pPr>
        <w:pStyle w:val="ListParagraph"/>
        <w:numPr>
          <w:ilvl w:val="4"/>
          <w:numId w:val="35"/>
        </w:numPr>
        <w:autoSpaceDE w:val="0"/>
        <w:autoSpaceDN w:val="0"/>
        <w:adjustRightInd w:val="0"/>
        <w:ind w:left="723"/>
        <w:textAlignment w:val="auto"/>
        <w:rPr>
          <w:bCs/>
        </w:rPr>
      </w:pPr>
      <w:r w:rsidRPr="002C4667">
        <w:t xml:space="preserve">Well-differentiated systemic </w:t>
      </w:r>
      <w:proofErr w:type="spellStart"/>
      <w:r w:rsidRPr="002C4667">
        <w:t>mastocytosis</w:t>
      </w:r>
      <w:proofErr w:type="spellEnd"/>
      <w:r w:rsidRPr="002C4667">
        <w:t xml:space="preserve"> (WDSM)</w:t>
      </w:r>
    </w:p>
    <w:p w14:paraId="6AE7EA38" w14:textId="18F688D2" w:rsidR="00E645CB" w:rsidRPr="002C4667" w:rsidRDefault="00E645CB" w:rsidP="008879ED">
      <w:pPr>
        <w:pStyle w:val="ListParagraph"/>
        <w:numPr>
          <w:ilvl w:val="4"/>
          <w:numId w:val="35"/>
        </w:numPr>
        <w:autoSpaceDE w:val="0"/>
        <w:autoSpaceDN w:val="0"/>
        <w:adjustRightInd w:val="0"/>
        <w:ind w:left="723"/>
        <w:textAlignment w:val="auto"/>
        <w:rPr>
          <w:bCs/>
        </w:rPr>
      </w:pPr>
      <w:r w:rsidRPr="002C4667">
        <w:rPr>
          <w:bCs/>
        </w:rPr>
        <w:t>Eosinophilia is present with FIP1L1::PDGFRA fusion gene</w:t>
      </w:r>
    </w:p>
    <w:p w14:paraId="5E115C0E" w14:textId="5899E5EB" w:rsidR="00E645CB" w:rsidRPr="002C4667" w:rsidRDefault="00E645CB" w:rsidP="00E645CB">
      <w:pPr>
        <w:pStyle w:val="Heading3"/>
      </w:pPr>
      <w:r w:rsidRPr="002C4667">
        <w:t>Cutaneous Melanoma</w:t>
      </w:r>
    </w:p>
    <w:p w14:paraId="5B056CB6" w14:textId="5EB14904" w:rsidR="00E645CB" w:rsidRPr="002C4667" w:rsidRDefault="00E645CB" w:rsidP="00E645CB">
      <w:pPr>
        <w:pStyle w:val="BodyText"/>
      </w:pPr>
      <w:r w:rsidRPr="002C4667">
        <w:t>Authorization of 12 months may be granted for treatment of cutaneous melanoma when all of the following criteria are met:</w:t>
      </w:r>
    </w:p>
    <w:p w14:paraId="7A2863F8" w14:textId="524B173D" w:rsidR="00E645CB" w:rsidRPr="002C4667" w:rsidRDefault="00E645CB" w:rsidP="008879ED">
      <w:pPr>
        <w:pStyle w:val="ListParagraph"/>
        <w:numPr>
          <w:ilvl w:val="4"/>
          <w:numId w:val="35"/>
        </w:numPr>
        <w:autoSpaceDE w:val="0"/>
        <w:autoSpaceDN w:val="0"/>
        <w:adjustRightInd w:val="0"/>
        <w:ind w:left="723"/>
        <w:textAlignment w:val="auto"/>
      </w:pPr>
      <w:r w:rsidRPr="002C4667">
        <w:t>The disease is metastatic or unresectable</w:t>
      </w:r>
    </w:p>
    <w:p w14:paraId="7A9029D6" w14:textId="77777777" w:rsidR="00E645CB" w:rsidRPr="002C4667" w:rsidRDefault="00E645CB" w:rsidP="008879ED">
      <w:pPr>
        <w:pStyle w:val="ListParagraph"/>
        <w:numPr>
          <w:ilvl w:val="4"/>
          <w:numId w:val="35"/>
        </w:numPr>
        <w:autoSpaceDE w:val="0"/>
        <w:autoSpaceDN w:val="0"/>
        <w:adjustRightInd w:val="0"/>
        <w:ind w:left="723"/>
        <w:textAlignment w:val="auto"/>
      </w:pPr>
      <w:r w:rsidRPr="002C4667">
        <w:t>The tumor has c-KIT activating mutations</w:t>
      </w:r>
    </w:p>
    <w:p w14:paraId="07A1E39E" w14:textId="77777777" w:rsidR="00E645CB" w:rsidRPr="002C4667" w:rsidRDefault="00E645CB" w:rsidP="008879ED">
      <w:pPr>
        <w:pStyle w:val="ListParagraph"/>
        <w:numPr>
          <w:ilvl w:val="4"/>
          <w:numId w:val="35"/>
        </w:numPr>
        <w:autoSpaceDE w:val="0"/>
        <w:autoSpaceDN w:val="0"/>
        <w:adjustRightInd w:val="0"/>
        <w:ind w:left="723"/>
        <w:textAlignment w:val="auto"/>
      </w:pPr>
      <w:r w:rsidRPr="002C4667">
        <w:t>The requested medication will be used as subsequent therapy</w:t>
      </w:r>
    </w:p>
    <w:p w14:paraId="68A5D506" w14:textId="77777777" w:rsidR="00E645CB" w:rsidRPr="002C4667" w:rsidRDefault="00E645CB" w:rsidP="008879ED">
      <w:pPr>
        <w:pStyle w:val="ListParagraph"/>
        <w:numPr>
          <w:ilvl w:val="4"/>
          <w:numId w:val="35"/>
        </w:numPr>
        <w:autoSpaceDE w:val="0"/>
        <w:autoSpaceDN w:val="0"/>
        <w:adjustRightInd w:val="0"/>
        <w:ind w:left="723"/>
        <w:textAlignment w:val="auto"/>
      </w:pPr>
      <w:r w:rsidRPr="002C4667">
        <w:t>Member has had disease progression, intolerance, or risk of progression with BRAF-targeted therapy</w:t>
      </w:r>
    </w:p>
    <w:p w14:paraId="0217B3E8" w14:textId="5C0A8A07" w:rsidR="00E645CB" w:rsidRPr="002C4667" w:rsidRDefault="00E645CB" w:rsidP="008879ED">
      <w:pPr>
        <w:pStyle w:val="ListParagraph"/>
        <w:numPr>
          <w:ilvl w:val="4"/>
          <w:numId w:val="35"/>
        </w:numPr>
        <w:autoSpaceDE w:val="0"/>
        <w:autoSpaceDN w:val="0"/>
        <w:adjustRightInd w:val="0"/>
        <w:ind w:left="723"/>
        <w:textAlignment w:val="auto"/>
      </w:pPr>
      <w:r w:rsidRPr="002C4667">
        <w:t>The requested medication will be used as a single agent</w:t>
      </w:r>
    </w:p>
    <w:p w14:paraId="625D8B45" w14:textId="2489E16D" w:rsidR="00E645CB" w:rsidRPr="002C4667" w:rsidRDefault="00E645CB" w:rsidP="00E645CB">
      <w:pPr>
        <w:pStyle w:val="Heading3"/>
      </w:pPr>
      <w:r w:rsidRPr="002C4667">
        <w:t>Kaposi Sarcoma</w:t>
      </w:r>
    </w:p>
    <w:p w14:paraId="647F77F0" w14:textId="4FF64078" w:rsidR="00E645CB" w:rsidRPr="002C4667" w:rsidRDefault="00E645CB" w:rsidP="00E645CB">
      <w:pPr>
        <w:pStyle w:val="BodyText"/>
        <w:rPr>
          <w:bCs/>
        </w:rPr>
      </w:pPr>
      <w:r w:rsidRPr="002C4667">
        <w:t>Authorization of 12 months may be granted for treatment of Kaposi sarcoma when the requested medication is used as subsequent therapy as a single agent or in combination with antiretroviral therapy.</w:t>
      </w:r>
    </w:p>
    <w:p w14:paraId="09290F8D" w14:textId="56A57517" w:rsidR="00E645CB" w:rsidRPr="002C4667" w:rsidRDefault="00E645CB" w:rsidP="00E645CB">
      <w:pPr>
        <w:pStyle w:val="Heading3"/>
      </w:pPr>
      <w:r w:rsidRPr="002C4667">
        <w:t>Chronic Graft-Versus-Host Disease (</w:t>
      </w:r>
      <w:proofErr w:type="spellStart"/>
      <w:r w:rsidRPr="002C4667">
        <w:t>cGVHD</w:t>
      </w:r>
      <w:proofErr w:type="spellEnd"/>
      <w:r w:rsidRPr="002C4667">
        <w:t>)</w:t>
      </w:r>
    </w:p>
    <w:p w14:paraId="30169A3B" w14:textId="2EBD02D2" w:rsidR="00E645CB" w:rsidRPr="002C4667" w:rsidRDefault="00E645CB" w:rsidP="00E645CB">
      <w:pPr>
        <w:pStyle w:val="BodyText"/>
        <w:rPr>
          <w:bCs/>
        </w:rPr>
      </w:pPr>
      <w:r w:rsidRPr="002C4667">
        <w:t xml:space="preserve">Authorization of 12 months may be granted for treatment of </w:t>
      </w:r>
      <w:proofErr w:type="spellStart"/>
      <w:r w:rsidRPr="002C4667">
        <w:t>cGVHD</w:t>
      </w:r>
      <w:proofErr w:type="spellEnd"/>
      <w:r w:rsidRPr="002C4667">
        <w:t xml:space="preserve"> when the requested medication is used as subsequent therapy in combination with systemic corticosteroids.</w:t>
      </w:r>
    </w:p>
    <w:p w14:paraId="6E27A944" w14:textId="096A860E" w:rsidR="00E645CB" w:rsidRPr="002C4667" w:rsidRDefault="00E645CB" w:rsidP="00E645CB">
      <w:pPr>
        <w:pStyle w:val="Heading3"/>
      </w:pPr>
      <w:r w:rsidRPr="002C4667">
        <w:t>Myeloid/Lymphoid Neoplasms with Eosinophilia</w:t>
      </w:r>
    </w:p>
    <w:p w14:paraId="30708AA0" w14:textId="455F9230" w:rsidR="00165258" w:rsidRPr="002C4667" w:rsidRDefault="00E645CB" w:rsidP="00E645CB">
      <w:pPr>
        <w:pStyle w:val="BodyText"/>
      </w:pPr>
      <w:r w:rsidRPr="002C4667">
        <w:t xml:space="preserve">Authorization of 12 months may be granted for treatment of myeloid and/or lymphoid neoplasms with eosinophilia and ABL1, </w:t>
      </w:r>
      <w:r w:rsidRPr="002C4667">
        <w:rPr>
          <w:bCs/>
        </w:rPr>
        <w:t>FIP1L1::PDGFRA, or PDGFRB rearrangement in the chronic phase or blast phase</w:t>
      </w:r>
      <w:r w:rsidRPr="002C4667">
        <w:t>.</w:t>
      </w:r>
    </w:p>
    <w:p w14:paraId="3A643EC3" w14:textId="63BA0727" w:rsidR="00A501AC" w:rsidRPr="002C4667" w:rsidRDefault="00A501AC" w:rsidP="00A501AC">
      <w:pPr>
        <w:pStyle w:val="Heading2"/>
      </w:pPr>
      <w:r w:rsidRPr="002C4667">
        <w:lastRenderedPageBreak/>
        <w:t>Continuation of Therapy</w:t>
      </w:r>
    </w:p>
    <w:p w14:paraId="7338F07B" w14:textId="77777777" w:rsidR="005E5BD9" w:rsidRPr="002C4667" w:rsidRDefault="005E5BD9" w:rsidP="005E5BD9">
      <w:pPr>
        <w:pStyle w:val="Heading3"/>
      </w:pPr>
      <w:bookmarkStart w:id="2" w:name="S2.2"/>
      <w:bookmarkStart w:id="3" w:name="section-2.2"/>
      <w:bookmarkStart w:id="4" w:name="section-2.2.1"/>
      <w:bookmarkStart w:id="5" w:name="section-2.2.2"/>
      <w:bookmarkStart w:id="6" w:name="_Hlk68777226"/>
      <w:bookmarkEnd w:id="2"/>
      <w:bookmarkEnd w:id="3"/>
      <w:bookmarkEnd w:id="4"/>
      <w:bookmarkEnd w:id="5"/>
      <w:r w:rsidRPr="002C4667">
        <w:t>CML</w:t>
      </w:r>
    </w:p>
    <w:p w14:paraId="6A6E8C87" w14:textId="77777777" w:rsidR="005E5BD9" w:rsidRPr="002C4667" w:rsidRDefault="005E5BD9" w:rsidP="005E5BD9">
      <w:pPr>
        <w:pStyle w:val="BodyText"/>
      </w:pPr>
      <w:r w:rsidRPr="002C4667">
        <w:t>Authorization may be granted for continued treatment of CML that has been confirmed by detection of Ph chromosome or BCR::ABL gene by cytogenetic and/ or molecular testing when either of the following criteria is met:</w:t>
      </w:r>
    </w:p>
    <w:p w14:paraId="2E11FBF9" w14:textId="77777777" w:rsidR="005E5BD9" w:rsidRPr="00C0341C" w:rsidRDefault="005E5BD9" w:rsidP="00C0341C">
      <w:pPr>
        <w:pStyle w:val="ListParagraph"/>
        <w:numPr>
          <w:ilvl w:val="0"/>
          <w:numId w:val="43"/>
        </w:numPr>
      </w:pPr>
      <w:r w:rsidRPr="00C0341C">
        <w:t>Authorization of 12 months may be granted when any of the following criteria is met:</w:t>
      </w:r>
    </w:p>
    <w:p w14:paraId="02FC4CA3" w14:textId="77777777" w:rsidR="005E5BD9" w:rsidRPr="00C0341C" w:rsidRDefault="005E5BD9" w:rsidP="00C0341C">
      <w:pPr>
        <w:pStyle w:val="ListParagraph"/>
        <w:numPr>
          <w:ilvl w:val="1"/>
          <w:numId w:val="44"/>
        </w:numPr>
      </w:pPr>
      <w:r w:rsidRPr="00C0341C">
        <w:t>BCR::ABL1 is less than or equal to 10% and there is no evidence of disease progression or unacceptable toxicity while on the current regimen for members who have been receiving the requested medication for 6 months or greater</w:t>
      </w:r>
    </w:p>
    <w:p w14:paraId="2414C024" w14:textId="77777777" w:rsidR="005E5BD9" w:rsidRPr="00C0341C" w:rsidRDefault="005E5BD9" w:rsidP="00C0341C">
      <w:pPr>
        <w:pStyle w:val="ListParagraph"/>
        <w:numPr>
          <w:ilvl w:val="1"/>
          <w:numId w:val="44"/>
        </w:numPr>
      </w:pPr>
      <w:r w:rsidRPr="00C0341C">
        <w:t>Member has received HSCT and there is no evidence of disease progression or unacceptable toxicity while on the current regimen</w:t>
      </w:r>
    </w:p>
    <w:p w14:paraId="07217ED3" w14:textId="5C4E698C" w:rsidR="005E5BD9" w:rsidRPr="00C0341C" w:rsidRDefault="005E5BD9" w:rsidP="00C0341C">
      <w:pPr>
        <w:pStyle w:val="ListParagraph"/>
        <w:numPr>
          <w:ilvl w:val="0"/>
          <w:numId w:val="43"/>
        </w:numPr>
      </w:pPr>
      <w:r w:rsidRPr="00C0341C">
        <w:t>Authorization of up to 7 months may be granted when the member has completed less than 6 months of therapy with the requested medication.</w:t>
      </w:r>
      <w:bookmarkEnd w:id="6"/>
    </w:p>
    <w:p w14:paraId="2B0B14AF" w14:textId="77777777" w:rsidR="005E5BD9" w:rsidRPr="002C4667" w:rsidRDefault="005E5BD9" w:rsidP="005E5BD9">
      <w:pPr>
        <w:pStyle w:val="Heading3"/>
      </w:pPr>
      <w:r w:rsidRPr="002C4667">
        <w:t>Acute Lymphoblastic Leukemia or Lymphoblastic Lymphoma (ALL/LL)</w:t>
      </w:r>
    </w:p>
    <w:p w14:paraId="6325419B" w14:textId="77777777" w:rsidR="005E5BD9" w:rsidRPr="002C4667" w:rsidRDefault="005E5BD9" w:rsidP="005E5BD9">
      <w:pPr>
        <w:pStyle w:val="BodyText"/>
      </w:pPr>
      <w:r w:rsidRPr="002C4667">
        <w:t>Authorization of 12 months may be granted for continued treatment of ALL/LL when there is no evidence of unacceptable toxicity or disease progression while on the current regimen and any of the following criteria is met:</w:t>
      </w:r>
    </w:p>
    <w:p w14:paraId="2752D4D1" w14:textId="77777777" w:rsidR="005E5BD9" w:rsidRPr="002C4667" w:rsidRDefault="005E5BD9" w:rsidP="005E5BD9">
      <w:pPr>
        <w:pStyle w:val="ListParagraph"/>
        <w:numPr>
          <w:ilvl w:val="4"/>
          <w:numId w:val="38"/>
        </w:numPr>
        <w:autoSpaceDE w:val="0"/>
        <w:autoSpaceDN w:val="0"/>
        <w:adjustRightInd w:val="0"/>
        <w:ind w:left="723"/>
        <w:textAlignment w:val="auto"/>
      </w:pPr>
      <w:r w:rsidRPr="002C4667">
        <w:t>Member has Ph+ ALL/LL that has been confirmed by detection of Ph chromosome or BCR::ABL gene by cytogenetic and/ or molecular testing.</w:t>
      </w:r>
    </w:p>
    <w:p w14:paraId="2FBB12EB" w14:textId="77777777" w:rsidR="005E5BD9" w:rsidRPr="002C4667" w:rsidRDefault="005E5BD9" w:rsidP="005E5BD9">
      <w:pPr>
        <w:pStyle w:val="ListParagraph"/>
        <w:numPr>
          <w:ilvl w:val="4"/>
          <w:numId w:val="38"/>
        </w:numPr>
        <w:autoSpaceDE w:val="0"/>
        <w:autoSpaceDN w:val="0"/>
        <w:adjustRightInd w:val="0"/>
        <w:ind w:left="723"/>
        <w:textAlignment w:val="auto"/>
      </w:pPr>
      <w:r w:rsidRPr="002C4667">
        <w:t>Member has T-cell ALL/LL with ABL-class translocation that has been confirmed by cytogenetic and/or molecular testing.</w:t>
      </w:r>
    </w:p>
    <w:p w14:paraId="1AEDAC5E" w14:textId="52CCAEBC" w:rsidR="005E5BD9" w:rsidRDefault="005E5BD9" w:rsidP="005E5BD9">
      <w:pPr>
        <w:pStyle w:val="ListParagraph"/>
        <w:numPr>
          <w:ilvl w:val="4"/>
          <w:numId w:val="38"/>
        </w:numPr>
        <w:autoSpaceDE w:val="0"/>
        <w:autoSpaceDN w:val="0"/>
        <w:adjustRightInd w:val="0"/>
        <w:ind w:left="723"/>
        <w:textAlignment w:val="auto"/>
      </w:pPr>
      <w:r w:rsidRPr="002C4667">
        <w:t>Member has received HSCT for ALL/LL</w:t>
      </w:r>
    </w:p>
    <w:p w14:paraId="2AFA44A7" w14:textId="77777777" w:rsidR="005E5BD9" w:rsidRPr="002C4667" w:rsidRDefault="005E5BD9" w:rsidP="005E5BD9">
      <w:pPr>
        <w:pStyle w:val="Heading3"/>
      </w:pPr>
      <w:r w:rsidRPr="002C4667">
        <w:t xml:space="preserve">Desmoid Tumors, PVNS/TGCT, HES/CEL, DFSP, Chordoma, MDS/MPD, CMML, ASM, Cutaneous Melanoma, Kaposi sarcoma, </w:t>
      </w:r>
      <w:proofErr w:type="spellStart"/>
      <w:r w:rsidRPr="002C4667">
        <w:t>cGVHD</w:t>
      </w:r>
      <w:proofErr w:type="spellEnd"/>
      <w:r w:rsidRPr="002C4667">
        <w:t>, or Myeloid/Lymphoid Neoplasms with Eosinophilia</w:t>
      </w:r>
    </w:p>
    <w:p w14:paraId="1BE5A522" w14:textId="77777777" w:rsidR="00B65534" w:rsidRDefault="005E5BD9" w:rsidP="005E5BD9">
      <w:pPr>
        <w:pStyle w:val="BodyText"/>
      </w:pPr>
      <w:r w:rsidRPr="002C4667">
        <w:t xml:space="preserve">Authorization of 12 months may be granted for continued treatment of desmoid tumors, PVNS/TGCT, HES/CEL, DFSP, chordoma, MDS/MPD, CMML, ASM, cutaneous melanoma, Kaposi sarcoma, </w:t>
      </w:r>
      <w:proofErr w:type="spellStart"/>
      <w:r w:rsidRPr="002C4667">
        <w:t>cGVHD</w:t>
      </w:r>
      <w:proofErr w:type="spellEnd"/>
      <w:r w:rsidRPr="002C4667">
        <w:t>, or myeloid/lymphoid neoplasms with eosinophilia when there is no evidence of unacceptable toxicity or disease progression while on the current regimen.</w:t>
      </w:r>
    </w:p>
    <w:p w14:paraId="6B758516" w14:textId="77777777" w:rsidR="005E5BD9" w:rsidRPr="002C4667" w:rsidRDefault="005E5BD9" w:rsidP="005E5BD9">
      <w:pPr>
        <w:pStyle w:val="Heading3"/>
      </w:pPr>
      <w:r w:rsidRPr="002C4667">
        <w:t>GIST</w:t>
      </w:r>
    </w:p>
    <w:p w14:paraId="6302DE6A" w14:textId="7F8D10CE" w:rsidR="00706B11" w:rsidRPr="002C4667" w:rsidRDefault="005E5BD9" w:rsidP="005E5BD9">
      <w:pPr>
        <w:pStyle w:val="BodyText"/>
      </w:pPr>
      <w:r w:rsidRPr="002C4667">
        <w:t>Authorization of 12 months may be granted for continued treatment of GIST when the member is receiving clinical benefit and there is no evidence of unacceptable toxicity while on the current regimen.</w:t>
      </w:r>
    </w:p>
    <w:p w14:paraId="10DA4309" w14:textId="543653F6" w:rsidR="00FF66BF" w:rsidRPr="002C4667" w:rsidRDefault="00FF66BF" w:rsidP="00FF66BF">
      <w:pPr>
        <w:pStyle w:val="Heading2"/>
      </w:pPr>
      <w:r w:rsidRPr="002C4667">
        <w:lastRenderedPageBreak/>
        <w:t>References</w:t>
      </w:r>
    </w:p>
    <w:p w14:paraId="0C645012" w14:textId="61CAA452" w:rsidR="0073595C" w:rsidRPr="00C0341C" w:rsidRDefault="0073595C" w:rsidP="00C0341C">
      <w:pPr>
        <w:pStyle w:val="ReferenceOrdered"/>
      </w:pPr>
      <w:r w:rsidRPr="00C0341C">
        <w:t>Gleevec [package insert]. East Hanover, NJ: Novartis Pharmaceuticals Corporation; March 2024.</w:t>
      </w:r>
    </w:p>
    <w:p w14:paraId="7F607DA7" w14:textId="360ED6CD" w:rsidR="0073595C" w:rsidRDefault="0073595C" w:rsidP="00C0341C">
      <w:pPr>
        <w:pStyle w:val="ReferenceOrdered"/>
      </w:pPr>
      <w:r w:rsidRPr="00C0341C">
        <w:t>imatinib [package insert]. Cranbury, NJ: Sun Pharmaceuticals Industries, Inc.; September 2022.</w:t>
      </w:r>
    </w:p>
    <w:p w14:paraId="31F52C58" w14:textId="36D5916D" w:rsidR="00B74C96" w:rsidRPr="00C0341C" w:rsidRDefault="00B74C96" w:rsidP="00B74C96">
      <w:pPr>
        <w:pStyle w:val="ReferenceOrdered"/>
      </w:pPr>
      <w:proofErr w:type="spellStart"/>
      <w:r>
        <w:t>Imkeldi</w:t>
      </w:r>
      <w:proofErr w:type="spellEnd"/>
      <w:r>
        <w:t xml:space="preserve"> </w:t>
      </w:r>
      <w:r w:rsidRPr="009F6BD4">
        <w:t xml:space="preserve">[package insert]. </w:t>
      </w:r>
      <w:r>
        <w:t>Cambridge</w:t>
      </w:r>
      <w:r w:rsidRPr="009F6BD4">
        <w:t xml:space="preserve">, </w:t>
      </w:r>
      <w:r>
        <w:t>MA</w:t>
      </w:r>
      <w:r w:rsidRPr="009F6BD4">
        <w:t xml:space="preserve">: </w:t>
      </w:r>
      <w:proofErr w:type="spellStart"/>
      <w:r w:rsidRPr="009F6BD4">
        <w:t>S</w:t>
      </w:r>
      <w:r>
        <w:t>horla</w:t>
      </w:r>
      <w:proofErr w:type="spellEnd"/>
      <w:r>
        <w:t xml:space="preserve"> Oncology</w:t>
      </w:r>
      <w:r w:rsidRPr="009F6BD4">
        <w:t xml:space="preserve"> Inc.; </w:t>
      </w:r>
      <w:r>
        <w:t>December</w:t>
      </w:r>
      <w:r w:rsidRPr="009F6BD4">
        <w:t xml:space="preserve"> 202</w:t>
      </w:r>
      <w:r>
        <w:t>4</w:t>
      </w:r>
      <w:r w:rsidRPr="009F6BD4">
        <w:t>.</w:t>
      </w:r>
    </w:p>
    <w:p w14:paraId="33C17BEF" w14:textId="77777777" w:rsidR="0073595C" w:rsidRPr="00C0341C" w:rsidRDefault="0073595C" w:rsidP="00C0341C">
      <w:pPr>
        <w:pStyle w:val="ReferenceOrdered"/>
      </w:pPr>
      <w:r w:rsidRPr="00C0341C">
        <w:t>The NCCN Drugs &amp; Biologics Compendium® © 2024 National Comprehensive Cancer Network, Inc. https://www.nccn.org. Accessed April 9, 2024.</w:t>
      </w:r>
    </w:p>
    <w:p w14:paraId="20BC5ADD" w14:textId="77777777" w:rsidR="0073595C" w:rsidRPr="00C0341C" w:rsidRDefault="0073595C" w:rsidP="00C0341C">
      <w:pPr>
        <w:pStyle w:val="ReferenceOrdered"/>
      </w:pPr>
      <w:r w:rsidRPr="00C0341C">
        <w:t>NCCN Clinical Practice Guidelines in Oncology® Acute Lymphoblastic Leukemia (Version 4.2023). © 2024 National Comprehensive Cancer Network, Inc. https://www.nccn.org. Accessed April 9, 2024.</w:t>
      </w:r>
    </w:p>
    <w:p w14:paraId="74F69E5C" w14:textId="77777777" w:rsidR="0073595C" w:rsidRPr="00C0341C" w:rsidRDefault="0073595C" w:rsidP="00C0341C">
      <w:pPr>
        <w:pStyle w:val="ReferenceOrdered"/>
      </w:pPr>
      <w:r w:rsidRPr="00C0341C">
        <w:t>NCCN Clinical Practice Guidelines in Oncology® Pediatric Acute Lymphoblastic Leukemia (ALL) (Version 4.2024). © 2024 National Comprehensive Cancer Network, Inc. https://www.nccn.org. Accessed April 9, 2024.</w:t>
      </w:r>
    </w:p>
    <w:p w14:paraId="47E1A10C" w14:textId="4CAC4F49" w:rsidR="00C44990" w:rsidRPr="00A1607A" w:rsidRDefault="0073595C" w:rsidP="00A1607A">
      <w:pPr>
        <w:pStyle w:val="ReferenceOrdered"/>
      </w:pPr>
      <w:r w:rsidRPr="00C0341C">
        <w:t>NCCN Clinical Practice Guidelines in Oncology® Myelodysplastic Syndromes (Version 1.2024). © 2024 National Comprehensive Cancer Network, Inc. https://www.nccn.org. Accessed April 9, 2024</w:t>
      </w:r>
      <w:r w:rsidR="00FF66BF" w:rsidRPr="00C0341C">
        <w:t>.</w:t>
      </w:r>
    </w:p>
    <w:sectPr w:rsidR="00C44990" w:rsidRPr="00A1607A" w:rsidSect="00A1607A">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B71D8" w14:textId="77777777" w:rsidR="006E45A1" w:rsidRDefault="006E45A1">
      <w:r>
        <w:separator/>
      </w:r>
    </w:p>
  </w:endnote>
  <w:endnote w:type="continuationSeparator" w:id="0">
    <w:p w14:paraId="6F365631" w14:textId="77777777" w:rsidR="006E45A1" w:rsidRDefault="006E45A1">
      <w:r>
        <w:continuationSeparator/>
      </w:r>
    </w:p>
  </w:endnote>
  <w:endnote w:type="continuationNotice" w:id="1">
    <w:p w14:paraId="10634DA2" w14:textId="77777777" w:rsidR="006E45A1" w:rsidRDefault="006E45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0A47934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B455A" w:rsidRPr="003B455A">
      <w:rPr>
        <w:rFonts w:cs="Arial"/>
        <w:noProof/>
        <w:sz w:val="16"/>
        <w:szCs w:val="16"/>
      </w:rPr>
      <w:t>imatinib</w:t>
    </w:r>
    <w:r w:rsidR="003B455A">
      <w:rPr>
        <w:rFonts w:cs="Arial"/>
        <w:noProof/>
        <w:snapToGrid w:val="0"/>
        <w:color w:val="000000"/>
        <w:sz w:val="16"/>
        <w:szCs w:val="16"/>
      </w:rPr>
      <w:t xml:space="preserve"> products SGM</w:t>
    </w:r>
    <w:r w:rsidR="003B455A" w:rsidRPr="003B455A">
      <w:rPr>
        <w:rFonts w:cs="Arial"/>
        <w:noProof/>
        <w:sz w:val="16"/>
        <w:szCs w:val="16"/>
      </w:rPr>
      <w:t xml:space="preserve"> 2172-A</w:t>
    </w:r>
    <w:r w:rsidR="003B455A">
      <w:rPr>
        <w:rFonts w:cs="Arial"/>
        <w:noProof/>
        <w:snapToGrid w:val="0"/>
        <w:color w:val="000000"/>
        <w:sz w:val="16"/>
        <w:szCs w:val="16"/>
      </w:rPr>
      <w:t xml:space="preserve"> P2024a_R.docx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65835E2A"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79F1560" w:rsidR="00F75C81" w:rsidRPr="000763E3" w:rsidRDefault="00C36B72" w:rsidP="00A1607A">
    <w:pPr>
      <w:autoSpaceDE w:val="0"/>
      <w:autoSpaceDN w:val="0"/>
      <w:adjustRightInd w:val="0"/>
      <w:jc w:val="center"/>
      <w:rPr>
        <w:sz w:val="16"/>
        <w:szCs w:val="16"/>
      </w:rPr>
    </w:pPr>
    <w:r w:rsidRPr="000763E3">
      <w:rPr>
        <w:rFonts w:cs="Arial"/>
        <w:sz w:val="16"/>
        <w:szCs w:val="16"/>
      </w:rPr>
      <w:fldChar w:fldCharType="begin"/>
    </w:r>
    <w:r w:rsidRPr="000763E3">
      <w:rPr>
        <w:rFonts w:cs="Arial"/>
        <w:sz w:val="16"/>
        <w:szCs w:val="16"/>
      </w:rPr>
      <w:instrText xml:space="preserve"> PAGE </w:instrText>
    </w:r>
    <w:r w:rsidRPr="000763E3">
      <w:rPr>
        <w:rFonts w:cs="Arial"/>
        <w:sz w:val="16"/>
        <w:szCs w:val="16"/>
      </w:rPr>
      <w:fldChar w:fldCharType="separate"/>
    </w:r>
    <w:r w:rsidRPr="000763E3">
      <w:rPr>
        <w:rFonts w:cs="Arial"/>
        <w:sz w:val="16"/>
        <w:szCs w:val="16"/>
      </w:rPr>
      <w:t>8</w:t>
    </w:r>
    <w:r w:rsidRPr="000763E3">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71E12A3"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B455A" w:rsidRPr="003B455A">
      <w:rPr>
        <w:rFonts w:cs="Arial"/>
        <w:noProof/>
        <w:sz w:val="16"/>
        <w:szCs w:val="16"/>
      </w:rPr>
      <w:t>imatinib</w:t>
    </w:r>
    <w:r w:rsidR="003B455A">
      <w:rPr>
        <w:rFonts w:cs="Arial"/>
        <w:noProof/>
        <w:snapToGrid w:val="0"/>
        <w:color w:val="000000"/>
        <w:sz w:val="16"/>
        <w:szCs w:val="16"/>
      </w:rPr>
      <w:t xml:space="preserve"> products SGM</w:t>
    </w:r>
    <w:r w:rsidR="003B455A" w:rsidRPr="003B455A">
      <w:rPr>
        <w:rFonts w:cs="Arial"/>
        <w:noProof/>
        <w:sz w:val="16"/>
        <w:szCs w:val="16"/>
      </w:rPr>
      <w:t xml:space="preserve"> 2172-A</w:t>
    </w:r>
    <w:r w:rsidR="003B455A">
      <w:rPr>
        <w:rFonts w:cs="Arial"/>
        <w:noProof/>
        <w:snapToGrid w:val="0"/>
        <w:color w:val="000000"/>
        <w:sz w:val="16"/>
        <w:szCs w:val="16"/>
      </w:rPr>
      <w:t xml:space="preserve"> P2024a_R.docx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160818E1"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72D5525" w:rsidR="00ED04EC" w:rsidRPr="000763E3" w:rsidRDefault="00F50D98" w:rsidP="00A1607A">
    <w:pPr>
      <w:autoSpaceDE w:val="0"/>
      <w:autoSpaceDN w:val="0"/>
      <w:adjustRightInd w:val="0"/>
      <w:jc w:val="center"/>
      <w:rPr>
        <w:sz w:val="16"/>
        <w:szCs w:val="16"/>
      </w:rPr>
    </w:pPr>
    <w:r w:rsidRPr="000763E3">
      <w:rPr>
        <w:rFonts w:cs="Arial"/>
        <w:sz w:val="16"/>
        <w:szCs w:val="16"/>
      </w:rPr>
      <w:fldChar w:fldCharType="begin"/>
    </w:r>
    <w:r w:rsidRPr="000763E3">
      <w:rPr>
        <w:rFonts w:cs="Arial"/>
        <w:sz w:val="16"/>
        <w:szCs w:val="16"/>
      </w:rPr>
      <w:instrText xml:space="preserve"> PAGE </w:instrText>
    </w:r>
    <w:r w:rsidRPr="000763E3">
      <w:rPr>
        <w:rFonts w:cs="Arial"/>
        <w:sz w:val="16"/>
        <w:szCs w:val="16"/>
      </w:rPr>
      <w:fldChar w:fldCharType="separate"/>
    </w:r>
    <w:r w:rsidRPr="000763E3">
      <w:rPr>
        <w:rFonts w:cs="Arial"/>
        <w:sz w:val="16"/>
        <w:szCs w:val="16"/>
      </w:rPr>
      <w:t>2</w:t>
    </w:r>
    <w:r w:rsidRPr="000763E3">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582A4" w14:textId="77777777" w:rsidR="006E45A1" w:rsidRDefault="006E45A1">
      <w:r>
        <w:separator/>
      </w:r>
    </w:p>
  </w:footnote>
  <w:footnote w:type="continuationSeparator" w:id="0">
    <w:p w14:paraId="3A8FF29C" w14:textId="77777777" w:rsidR="006E45A1" w:rsidRDefault="006E45A1">
      <w:r>
        <w:continuationSeparator/>
      </w:r>
    </w:p>
  </w:footnote>
  <w:footnote w:type="continuationNotice" w:id="1">
    <w:p w14:paraId="261EAC91" w14:textId="77777777" w:rsidR="006E45A1" w:rsidRDefault="006E45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2C4667" w:rsidRDefault="00ED04EC" w:rsidP="00ED04EC">
          <w:pPr>
            <w:pStyle w:val="Header"/>
            <w:rPr>
              <w:rFonts w:cs="Arial"/>
              <w:sz w:val="16"/>
              <w:szCs w:val="16"/>
            </w:rPr>
          </w:pPr>
          <w:r w:rsidRPr="002C4667">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619CD57C" w:rsidR="00ED04EC" w:rsidRPr="002C4667" w:rsidRDefault="00B65534" w:rsidP="00ED04EC">
          <w:pPr>
            <w:pStyle w:val="Header"/>
            <w:rPr>
              <w:rFonts w:cs="Arial"/>
              <w:sz w:val="16"/>
              <w:szCs w:val="16"/>
            </w:rPr>
          </w:pPr>
          <w:r w:rsidRPr="002C4667">
            <w:rPr>
              <w:rFonts w:cs="Arial"/>
              <w:sz w:val="16"/>
              <w:szCs w:val="16"/>
            </w:rPr>
            <w:t>2172-A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286488"/>
    <w:multiLevelType w:val="hybridMultilevel"/>
    <w:tmpl w:val="EDE4E51E"/>
    <w:lvl w:ilvl="0" w:tplc="4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A34DBF"/>
    <w:multiLevelType w:val="hybridMultilevel"/>
    <w:tmpl w:val="AF025F0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EB02CB3"/>
    <w:multiLevelType w:val="hybridMultilevel"/>
    <w:tmpl w:val="9DB23514"/>
    <w:lvl w:ilvl="0" w:tplc="5E9CD9CA">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12301A28">
      <w:start w:val="4"/>
      <w:numFmt w:val="upperRoman"/>
      <w:lvlText w:val="%3."/>
      <w:lvlJc w:val="left"/>
      <w:pPr>
        <w:ind w:left="3060" w:hanging="720"/>
      </w:pPr>
      <w:rPr>
        <w:rFonts w:hint="default"/>
      </w:rPr>
    </w:lvl>
    <w:lvl w:ilvl="3" w:tplc="0409000F" w:tentative="1">
      <w:start w:val="1"/>
      <w:numFmt w:val="decimal"/>
      <w:lvlText w:val="%4."/>
      <w:lvlJc w:val="left"/>
      <w:pPr>
        <w:ind w:left="3240" w:hanging="360"/>
      </w:pPr>
    </w:lvl>
    <w:lvl w:ilvl="4" w:tplc="FBE40668">
      <w:start w:val="1"/>
      <w:numFmt w:val="decimal"/>
      <w:lvlText w:val="%5."/>
      <w:lvlJc w:val="left"/>
      <w:pPr>
        <w:ind w:left="1260" w:hanging="360"/>
      </w:pPr>
      <w:rPr>
        <w:rFonts w:ascii="Arial" w:eastAsia="Times New Roman" w:hAnsi="Arial" w:cs="Arial"/>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3FD79F0"/>
    <w:multiLevelType w:val="hybridMultilevel"/>
    <w:tmpl w:val="3B300B80"/>
    <w:lvl w:ilvl="0" w:tplc="FFFFFFFF">
      <w:start w:val="1"/>
      <w:numFmt w:val="upp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4"/>
      <w:numFmt w:val="upperRoman"/>
      <w:lvlText w:val="%3."/>
      <w:lvlJc w:val="left"/>
      <w:pPr>
        <w:ind w:left="3060" w:hanging="720"/>
      </w:pPr>
      <w:rPr>
        <w:rFonts w:hint="default"/>
      </w:rPr>
    </w:lvl>
    <w:lvl w:ilvl="3" w:tplc="FFFFFFFF" w:tentative="1">
      <w:start w:val="1"/>
      <w:numFmt w:val="decimal"/>
      <w:lvlText w:val="%4."/>
      <w:lvlJc w:val="left"/>
      <w:pPr>
        <w:ind w:left="3240" w:hanging="360"/>
      </w:pPr>
    </w:lvl>
    <w:lvl w:ilvl="4" w:tplc="40090001">
      <w:start w:val="1"/>
      <w:numFmt w:val="bullet"/>
      <w:lvlText w:val=""/>
      <w:lvlJc w:val="left"/>
      <w:pPr>
        <w:ind w:left="1080" w:hanging="360"/>
      </w:pPr>
      <w:rPr>
        <w:rFonts w:ascii="Symbol" w:hAnsi="Symbol" w:hint="default"/>
      </w:r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19255C6F"/>
    <w:multiLevelType w:val="hybridMultilevel"/>
    <w:tmpl w:val="FB9056DC"/>
    <w:lvl w:ilvl="0" w:tplc="40090001">
      <w:start w:val="1"/>
      <w:numFmt w:val="bullet"/>
      <w:lvlText w:val=""/>
      <w:lvlJc w:val="left"/>
      <w:pPr>
        <w:ind w:left="1620" w:hanging="360"/>
      </w:pPr>
      <w:rPr>
        <w:rFonts w:ascii="Symbol" w:hAnsi="Symbol" w:hint="default"/>
        <w:sz w:val="20"/>
        <w:szCs w:val="20"/>
      </w:rPr>
    </w:lvl>
    <w:lvl w:ilvl="1" w:tplc="FFFFFFFF">
      <w:start w:val="1"/>
      <w:numFmt w:val="lowerLetter"/>
      <w:lvlText w:val="%2."/>
      <w:lvlJc w:val="left"/>
      <w:pPr>
        <w:ind w:left="2070" w:hanging="360"/>
      </w:pPr>
      <w:rPr>
        <w:rFonts w:hint="default"/>
      </w:rPr>
    </w:lvl>
    <w:lvl w:ilvl="2" w:tplc="FFFFFFFF">
      <w:start w:val="1"/>
      <w:numFmt w:val="bullet"/>
      <w:lvlText w:val=""/>
      <w:lvlJc w:val="left"/>
      <w:pPr>
        <w:ind w:left="3060" w:hanging="360"/>
      </w:pPr>
      <w:rPr>
        <w:rFonts w:ascii="Wingdings" w:hAnsi="Wingdings" w:hint="default"/>
      </w:rPr>
    </w:lvl>
    <w:lvl w:ilvl="3" w:tplc="FFFFFFFF">
      <w:start w:val="1"/>
      <w:numFmt w:val="bullet"/>
      <w:lvlText w:val=""/>
      <w:lvlJc w:val="left"/>
      <w:pPr>
        <w:ind w:left="3780" w:hanging="360"/>
      </w:pPr>
      <w:rPr>
        <w:rFonts w:ascii="Symbol" w:hAnsi="Symbol" w:hint="default"/>
      </w:rPr>
    </w:lvl>
    <w:lvl w:ilvl="4" w:tplc="FFFFFFFF">
      <w:start w:val="1"/>
      <w:numFmt w:val="bullet"/>
      <w:lvlText w:val="o"/>
      <w:lvlJc w:val="left"/>
      <w:pPr>
        <w:ind w:left="4500" w:hanging="360"/>
      </w:pPr>
      <w:rPr>
        <w:rFonts w:ascii="Courier New" w:hAnsi="Courier New" w:cs="Courier New" w:hint="default"/>
      </w:rPr>
    </w:lvl>
    <w:lvl w:ilvl="5" w:tplc="FFFFFFFF" w:tentative="1">
      <w:start w:val="1"/>
      <w:numFmt w:val="bullet"/>
      <w:lvlText w:val=""/>
      <w:lvlJc w:val="left"/>
      <w:pPr>
        <w:ind w:left="5220" w:hanging="360"/>
      </w:pPr>
      <w:rPr>
        <w:rFonts w:ascii="Wingdings" w:hAnsi="Wingdings" w:hint="default"/>
      </w:rPr>
    </w:lvl>
    <w:lvl w:ilvl="6" w:tplc="FFFFFFFF" w:tentative="1">
      <w:start w:val="1"/>
      <w:numFmt w:val="bullet"/>
      <w:lvlText w:val=""/>
      <w:lvlJc w:val="left"/>
      <w:pPr>
        <w:ind w:left="5940" w:hanging="360"/>
      </w:pPr>
      <w:rPr>
        <w:rFonts w:ascii="Symbol" w:hAnsi="Symbol" w:hint="default"/>
      </w:rPr>
    </w:lvl>
    <w:lvl w:ilvl="7" w:tplc="FFFFFFFF" w:tentative="1">
      <w:start w:val="1"/>
      <w:numFmt w:val="bullet"/>
      <w:lvlText w:val="o"/>
      <w:lvlJc w:val="left"/>
      <w:pPr>
        <w:ind w:left="6660" w:hanging="360"/>
      </w:pPr>
      <w:rPr>
        <w:rFonts w:ascii="Courier New" w:hAnsi="Courier New" w:cs="Courier New" w:hint="default"/>
      </w:rPr>
    </w:lvl>
    <w:lvl w:ilvl="8" w:tplc="FFFFFFFF" w:tentative="1">
      <w:start w:val="1"/>
      <w:numFmt w:val="bullet"/>
      <w:lvlText w:val=""/>
      <w:lvlJc w:val="left"/>
      <w:pPr>
        <w:ind w:left="7380" w:hanging="360"/>
      </w:pPr>
      <w:rPr>
        <w:rFonts w:ascii="Wingdings" w:hAnsi="Wingdings" w:hint="default"/>
      </w:rPr>
    </w:lvl>
  </w:abstractNum>
  <w:abstractNum w:abstractNumId="18"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0064F8E"/>
    <w:multiLevelType w:val="hybridMultilevel"/>
    <w:tmpl w:val="A524EF5C"/>
    <w:lvl w:ilvl="0" w:tplc="0409000F">
      <w:start w:val="1"/>
      <w:numFmt w:val="decimal"/>
      <w:lvlText w:val="%1."/>
      <w:lvlJc w:val="left"/>
      <w:pPr>
        <w:ind w:left="1440" w:hanging="360"/>
      </w:pPr>
      <w:rPr>
        <w:rFonts w:hint="default"/>
        <w:u w:val="none"/>
        <w:vertAlign w:val="baseline"/>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2C801DC"/>
    <w:multiLevelType w:val="hybridMultilevel"/>
    <w:tmpl w:val="036E0860"/>
    <w:lvl w:ilvl="0" w:tplc="9B1E5ECE">
      <w:start w:val="1"/>
      <w:numFmt w:val="upperLetter"/>
      <w:pStyle w:val="ReferenceInternal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511838"/>
    <w:multiLevelType w:val="hybridMultilevel"/>
    <w:tmpl w:val="DF0ED47C"/>
    <w:lvl w:ilvl="0" w:tplc="40090001">
      <w:start w:val="1"/>
      <w:numFmt w:val="bullet"/>
      <w:lvlText w:val=""/>
      <w:lvlJc w:val="left"/>
      <w:pPr>
        <w:ind w:left="1440" w:hanging="360"/>
      </w:pPr>
      <w:rPr>
        <w:rFonts w:ascii="Symbol" w:hAnsi="Symbol" w:hint="default"/>
        <w:u w:val="none"/>
        <w:vertAlign w:val="baseline"/>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15:restartNumberingAfterBreak="0">
    <w:nsid w:val="25CC3045"/>
    <w:multiLevelType w:val="hybridMultilevel"/>
    <w:tmpl w:val="C644B102"/>
    <w:lvl w:ilvl="0" w:tplc="40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29416C0F"/>
    <w:multiLevelType w:val="hybridMultilevel"/>
    <w:tmpl w:val="604233D0"/>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B54C56"/>
    <w:multiLevelType w:val="hybridMultilevel"/>
    <w:tmpl w:val="2B4A211A"/>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BC728B"/>
    <w:multiLevelType w:val="hybridMultilevel"/>
    <w:tmpl w:val="3D60DCE6"/>
    <w:lvl w:ilvl="0" w:tplc="1D4A18DE">
      <w:start w:val="1"/>
      <w:numFmt w:val="decimal"/>
      <w:lvlText w:val="%1."/>
      <w:lvlJc w:val="right"/>
      <w:pPr>
        <w:ind w:left="1620" w:hanging="360"/>
      </w:pPr>
      <w:rPr>
        <w:rFonts w:ascii="Arial" w:eastAsia="Times New Roman" w:hAnsi="Arial" w:cs="Arial" w:hint="default"/>
        <w:sz w:val="20"/>
        <w:szCs w:val="20"/>
      </w:rPr>
    </w:lvl>
    <w:lvl w:ilvl="1" w:tplc="04090019">
      <w:start w:val="1"/>
      <w:numFmt w:val="lowerLetter"/>
      <w:lvlText w:val="%2."/>
      <w:lvlJc w:val="left"/>
      <w:pPr>
        <w:ind w:left="2070" w:hanging="360"/>
      </w:pPr>
      <w:rPr>
        <w:rFonts w:hint="default"/>
      </w:rPr>
    </w:lvl>
    <w:lvl w:ilvl="2" w:tplc="04090005">
      <w:start w:val="1"/>
      <w:numFmt w:val="bullet"/>
      <w:lvlText w:val=""/>
      <w:lvlJc w:val="left"/>
      <w:pPr>
        <w:ind w:left="3060" w:hanging="360"/>
      </w:pPr>
      <w:rPr>
        <w:rFonts w:ascii="Wingdings" w:hAnsi="Wingdings" w:hint="default"/>
      </w:rPr>
    </w:lvl>
    <w:lvl w:ilvl="3" w:tplc="04090001">
      <w:start w:val="1"/>
      <w:numFmt w:val="bullet"/>
      <w:lvlText w:val=""/>
      <w:lvlJc w:val="left"/>
      <w:pPr>
        <w:ind w:left="3780" w:hanging="360"/>
      </w:pPr>
      <w:rPr>
        <w:rFonts w:ascii="Symbol" w:hAnsi="Symbol" w:hint="default"/>
      </w:rPr>
    </w:lvl>
    <w:lvl w:ilvl="4" w:tplc="04090003">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0" w15:restartNumberingAfterBreak="0">
    <w:nsid w:val="47E739EA"/>
    <w:multiLevelType w:val="hybridMultilevel"/>
    <w:tmpl w:val="E80252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CA2A67"/>
    <w:multiLevelType w:val="hybridMultilevel"/>
    <w:tmpl w:val="9DB23514"/>
    <w:lvl w:ilvl="0" w:tplc="5E9CD9CA">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12301A28">
      <w:start w:val="4"/>
      <w:numFmt w:val="upperRoman"/>
      <w:lvlText w:val="%3."/>
      <w:lvlJc w:val="left"/>
      <w:pPr>
        <w:ind w:left="3060" w:hanging="720"/>
      </w:pPr>
      <w:rPr>
        <w:rFonts w:hint="default"/>
      </w:rPr>
    </w:lvl>
    <w:lvl w:ilvl="3" w:tplc="0409000F" w:tentative="1">
      <w:start w:val="1"/>
      <w:numFmt w:val="decimal"/>
      <w:lvlText w:val="%4."/>
      <w:lvlJc w:val="left"/>
      <w:pPr>
        <w:ind w:left="3240" w:hanging="360"/>
      </w:pPr>
    </w:lvl>
    <w:lvl w:ilvl="4" w:tplc="FBE40668">
      <w:start w:val="1"/>
      <w:numFmt w:val="decimal"/>
      <w:lvlText w:val="%5."/>
      <w:lvlJc w:val="left"/>
      <w:pPr>
        <w:ind w:left="1260" w:hanging="360"/>
      </w:pPr>
      <w:rPr>
        <w:rFonts w:ascii="Arial" w:eastAsia="Times New Roman" w:hAnsi="Arial" w:cs="Arial"/>
      </w:r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5C3DB4"/>
    <w:multiLevelType w:val="hybridMultilevel"/>
    <w:tmpl w:val="2CA064DC"/>
    <w:lvl w:ilvl="0" w:tplc="FFFFFFFF">
      <w:start w:val="1"/>
      <w:numFmt w:val="upp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4"/>
      <w:numFmt w:val="upperRoman"/>
      <w:lvlText w:val="%3."/>
      <w:lvlJc w:val="left"/>
      <w:pPr>
        <w:ind w:left="3060" w:hanging="720"/>
      </w:pPr>
      <w:rPr>
        <w:rFonts w:hint="default"/>
      </w:rPr>
    </w:lvl>
    <w:lvl w:ilvl="3" w:tplc="FFFFFFFF" w:tentative="1">
      <w:start w:val="1"/>
      <w:numFmt w:val="decimal"/>
      <w:lvlText w:val="%4."/>
      <w:lvlJc w:val="left"/>
      <w:pPr>
        <w:ind w:left="3240" w:hanging="360"/>
      </w:pPr>
    </w:lvl>
    <w:lvl w:ilvl="4" w:tplc="40090001">
      <w:start w:val="1"/>
      <w:numFmt w:val="bullet"/>
      <w:lvlText w:val=""/>
      <w:lvlJc w:val="left"/>
      <w:pPr>
        <w:ind w:left="1080" w:hanging="360"/>
      </w:pPr>
      <w:rPr>
        <w:rFonts w:ascii="Symbol" w:hAnsi="Symbol" w:hint="default"/>
      </w:r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50080536"/>
    <w:multiLevelType w:val="hybridMultilevel"/>
    <w:tmpl w:val="EF568026"/>
    <w:lvl w:ilvl="0" w:tplc="880CD9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822B3C"/>
    <w:multiLevelType w:val="hybridMultilevel"/>
    <w:tmpl w:val="5060C79E"/>
    <w:lvl w:ilvl="0" w:tplc="FFFFFFFF">
      <w:start w:val="1"/>
      <w:numFmt w:val="decimal"/>
      <w:lvlText w:val="%1."/>
      <w:lvlJc w:val="right"/>
      <w:pPr>
        <w:ind w:left="1620" w:hanging="360"/>
      </w:pPr>
      <w:rPr>
        <w:rFonts w:ascii="Arial" w:eastAsia="Times New Roman" w:hAnsi="Arial" w:cs="Arial" w:hint="default"/>
        <w:sz w:val="20"/>
        <w:szCs w:val="20"/>
      </w:rPr>
    </w:lvl>
    <w:lvl w:ilvl="1" w:tplc="40090005">
      <w:start w:val="1"/>
      <w:numFmt w:val="bullet"/>
      <w:lvlText w:val=""/>
      <w:lvlJc w:val="left"/>
      <w:pPr>
        <w:ind w:left="2070" w:hanging="360"/>
      </w:pPr>
      <w:rPr>
        <w:rFonts w:ascii="Wingdings" w:hAnsi="Wingdings" w:hint="default"/>
      </w:rPr>
    </w:lvl>
    <w:lvl w:ilvl="2" w:tplc="FFFFFFFF">
      <w:start w:val="1"/>
      <w:numFmt w:val="bullet"/>
      <w:lvlText w:val=""/>
      <w:lvlJc w:val="left"/>
      <w:pPr>
        <w:ind w:left="3060" w:hanging="360"/>
      </w:pPr>
      <w:rPr>
        <w:rFonts w:ascii="Wingdings" w:hAnsi="Wingdings" w:hint="default"/>
      </w:rPr>
    </w:lvl>
    <w:lvl w:ilvl="3" w:tplc="FFFFFFFF">
      <w:start w:val="1"/>
      <w:numFmt w:val="bullet"/>
      <w:lvlText w:val=""/>
      <w:lvlJc w:val="left"/>
      <w:pPr>
        <w:ind w:left="3780" w:hanging="360"/>
      </w:pPr>
      <w:rPr>
        <w:rFonts w:ascii="Symbol" w:hAnsi="Symbol" w:hint="default"/>
      </w:rPr>
    </w:lvl>
    <w:lvl w:ilvl="4" w:tplc="FFFFFFFF">
      <w:start w:val="1"/>
      <w:numFmt w:val="bullet"/>
      <w:lvlText w:val="o"/>
      <w:lvlJc w:val="left"/>
      <w:pPr>
        <w:ind w:left="4500" w:hanging="360"/>
      </w:pPr>
      <w:rPr>
        <w:rFonts w:ascii="Courier New" w:hAnsi="Courier New" w:cs="Courier New" w:hint="default"/>
      </w:rPr>
    </w:lvl>
    <w:lvl w:ilvl="5" w:tplc="FFFFFFFF" w:tentative="1">
      <w:start w:val="1"/>
      <w:numFmt w:val="bullet"/>
      <w:lvlText w:val=""/>
      <w:lvlJc w:val="left"/>
      <w:pPr>
        <w:ind w:left="5220" w:hanging="360"/>
      </w:pPr>
      <w:rPr>
        <w:rFonts w:ascii="Wingdings" w:hAnsi="Wingdings" w:hint="default"/>
      </w:rPr>
    </w:lvl>
    <w:lvl w:ilvl="6" w:tplc="FFFFFFFF" w:tentative="1">
      <w:start w:val="1"/>
      <w:numFmt w:val="bullet"/>
      <w:lvlText w:val=""/>
      <w:lvlJc w:val="left"/>
      <w:pPr>
        <w:ind w:left="5940" w:hanging="360"/>
      </w:pPr>
      <w:rPr>
        <w:rFonts w:ascii="Symbol" w:hAnsi="Symbol" w:hint="default"/>
      </w:rPr>
    </w:lvl>
    <w:lvl w:ilvl="7" w:tplc="FFFFFFFF" w:tentative="1">
      <w:start w:val="1"/>
      <w:numFmt w:val="bullet"/>
      <w:lvlText w:val="o"/>
      <w:lvlJc w:val="left"/>
      <w:pPr>
        <w:ind w:left="6660" w:hanging="360"/>
      </w:pPr>
      <w:rPr>
        <w:rFonts w:ascii="Courier New" w:hAnsi="Courier New" w:cs="Courier New" w:hint="default"/>
      </w:rPr>
    </w:lvl>
    <w:lvl w:ilvl="8" w:tplc="FFFFFFFF" w:tentative="1">
      <w:start w:val="1"/>
      <w:numFmt w:val="bullet"/>
      <w:lvlText w:val=""/>
      <w:lvlJc w:val="left"/>
      <w:pPr>
        <w:ind w:left="7380" w:hanging="360"/>
      </w:pPr>
      <w:rPr>
        <w:rFonts w:ascii="Wingdings" w:hAnsi="Wingdings" w:hint="default"/>
      </w:rPr>
    </w:lvl>
  </w:abstractNum>
  <w:abstractNum w:abstractNumId="4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287596"/>
    <w:multiLevelType w:val="hybridMultilevel"/>
    <w:tmpl w:val="91A4AD14"/>
    <w:lvl w:ilvl="0" w:tplc="FFFFFFFF">
      <w:start w:val="1"/>
      <w:numFmt w:val="upp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4"/>
      <w:numFmt w:val="upperRoman"/>
      <w:lvlText w:val="%3."/>
      <w:lvlJc w:val="left"/>
      <w:pPr>
        <w:ind w:left="3060" w:hanging="720"/>
      </w:pPr>
      <w:rPr>
        <w:rFonts w:hint="default"/>
      </w:rPr>
    </w:lvl>
    <w:lvl w:ilvl="3" w:tplc="FFFFFFFF" w:tentative="1">
      <w:start w:val="1"/>
      <w:numFmt w:val="decimal"/>
      <w:lvlText w:val="%4."/>
      <w:lvlJc w:val="left"/>
      <w:pPr>
        <w:ind w:left="3240" w:hanging="360"/>
      </w:pPr>
    </w:lvl>
    <w:lvl w:ilvl="4" w:tplc="40090001">
      <w:start w:val="1"/>
      <w:numFmt w:val="bullet"/>
      <w:lvlText w:val=""/>
      <w:lvlJc w:val="left"/>
      <w:pPr>
        <w:ind w:left="1080" w:hanging="360"/>
      </w:pPr>
      <w:rPr>
        <w:rFonts w:ascii="Symbol" w:hAnsi="Symbol" w:hint="default"/>
      </w:r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0F1497"/>
    <w:multiLevelType w:val="hybridMultilevel"/>
    <w:tmpl w:val="B2ACF4DC"/>
    <w:lvl w:ilvl="0" w:tplc="04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40"/>
  </w:num>
  <w:num w:numId="3" w16cid:durableId="611589570">
    <w:abstractNumId w:val="3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0"/>
  </w:num>
  <w:num w:numId="16" w16cid:durableId="898320195">
    <w:abstractNumId w:val="26"/>
  </w:num>
  <w:num w:numId="17" w16cid:durableId="2128498676">
    <w:abstractNumId w:val="43"/>
  </w:num>
  <w:num w:numId="18" w16cid:durableId="299724409">
    <w:abstractNumId w:val="36"/>
  </w:num>
  <w:num w:numId="19" w16cid:durableId="214585573">
    <w:abstractNumId w:val="18"/>
  </w:num>
  <w:num w:numId="20" w16cid:durableId="1289816170">
    <w:abstractNumId w:val="19"/>
  </w:num>
  <w:num w:numId="21" w16cid:durableId="1066490929">
    <w:abstractNumId w:val="45"/>
  </w:num>
  <w:num w:numId="22" w16cid:durableId="1472481103">
    <w:abstractNumId w:val="38"/>
  </w:num>
  <w:num w:numId="23" w16cid:durableId="1997420403">
    <w:abstractNumId w:val="41"/>
  </w:num>
  <w:num w:numId="24" w16cid:durableId="33312838">
    <w:abstractNumId w:val="37"/>
  </w:num>
  <w:num w:numId="25" w16cid:durableId="507404939">
    <w:abstractNumId w:val="25"/>
  </w:num>
  <w:num w:numId="26" w16cid:durableId="1950313333">
    <w:abstractNumId w:val="32"/>
  </w:num>
  <w:num w:numId="27" w16cid:durableId="1866016584">
    <w:abstractNumId w:val="28"/>
  </w:num>
  <w:num w:numId="28" w16cid:durableId="1094857379">
    <w:abstractNumId w:val="20"/>
  </w:num>
  <w:num w:numId="29" w16cid:durableId="1061437997">
    <w:abstractNumId w:val="22"/>
  </w:num>
  <w:num w:numId="30" w16cid:durableId="2058165396">
    <w:abstractNumId w:val="44"/>
  </w:num>
  <w:num w:numId="31" w16cid:durableId="1034771318">
    <w:abstractNumId w:val="34"/>
  </w:num>
  <w:num w:numId="32" w16cid:durableId="313871604">
    <w:abstractNumId w:val="23"/>
  </w:num>
  <w:num w:numId="33" w16cid:durableId="386027402">
    <w:abstractNumId w:val="13"/>
  </w:num>
  <w:num w:numId="34" w16cid:durableId="1538662669">
    <w:abstractNumId w:val="33"/>
  </w:num>
  <w:num w:numId="35" w16cid:durableId="1298686516">
    <w:abstractNumId w:val="16"/>
  </w:num>
  <w:num w:numId="36" w16cid:durableId="1038819440">
    <w:abstractNumId w:val="29"/>
  </w:num>
  <w:num w:numId="37" w16cid:durableId="905722742">
    <w:abstractNumId w:val="31"/>
  </w:num>
  <w:num w:numId="38" w16cid:durableId="1447654759">
    <w:abstractNumId w:val="42"/>
  </w:num>
  <w:num w:numId="39" w16cid:durableId="1254322443">
    <w:abstractNumId w:val="17"/>
  </w:num>
  <w:num w:numId="40" w16cid:durableId="1478230610">
    <w:abstractNumId w:val="39"/>
  </w:num>
  <w:num w:numId="41" w16cid:durableId="1915506105">
    <w:abstractNumId w:val="11"/>
  </w:num>
  <w:num w:numId="42" w16cid:durableId="1378815767">
    <w:abstractNumId w:val="27"/>
  </w:num>
  <w:num w:numId="43" w16cid:durableId="660428904">
    <w:abstractNumId w:val="30"/>
  </w:num>
  <w:num w:numId="44" w16cid:durableId="1107627706">
    <w:abstractNumId w:val="24"/>
  </w:num>
  <w:num w:numId="45" w16cid:durableId="636106619">
    <w:abstractNumId w:val="21"/>
  </w:num>
  <w:num w:numId="46" w16cid:durableId="749233050">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3E3"/>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2849"/>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585"/>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3B6"/>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117"/>
    <w:rsid w:val="002232EB"/>
    <w:rsid w:val="00223B3B"/>
    <w:rsid w:val="002243D0"/>
    <w:rsid w:val="002244E4"/>
    <w:rsid w:val="00224DC4"/>
    <w:rsid w:val="00225688"/>
    <w:rsid w:val="00226F8F"/>
    <w:rsid w:val="002277CB"/>
    <w:rsid w:val="00227FB2"/>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CA5"/>
    <w:rsid w:val="00251EE2"/>
    <w:rsid w:val="00252CE1"/>
    <w:rsid w:val="0025338B"/>
    <w:rsid w:val="0025395A"/>
    <w:rsid w:val="00254313"/>
    <w:rsid w:val="00254CF2"/>
    <w:rsid w:val="00254EB9"/>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667"/>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F01"/>
    <w:rsid w:val="002F6300"/>
    <w:rsid w:val="0030016D"/>
    <w:rsid w:val="00301F62"/>
    <w:rsid w:val="00302C7E"/>
    <w:rsid w:val="00302DBD"/>
    <w:rsid w:val="003030D7"/>
    <w:rsid w:val="00304F20"/>
    <w:rsid w:val="003051F3"/>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6A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203"/>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55A"/>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4DB2"/>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310"/>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1E0E"/>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4DE"/>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720"/>
    <w:rsid w:val="00514A01"/>
    <w:rsid w:val="00514A89"/>
    <w:rsid w:val="00515A3D"/>
    <w:rsid w:val="00515A5C"/>
    <w:rsid w:val="005166CA"/>
    <w:rsid w:val="00516920"/>
    <w:rsid w:val="00517206"/>
    <w:rsid w:val="00520296"/>
    <w:rsid w:val="00520A89"/>
    <w:rsid w:val="005210A8"/>
    <w:rsid w:val="00521489"/>
    <w:rsid w:val="00521874"/>
    <w:rsid w:val="0052196B"/>
    <w:rsid w:val="005230EA"/>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6FFE"/>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BD9"/>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C9C"/>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6C6"/>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5A1"/>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595C"/>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2E68"/>
    <w:rsid w:val="0076331A"/>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4552"/>
    <w:rsid w:val="0083565A"/>
    <w:rsid w:val="00835A0B"/>
    <w:rsid w:val="00835FD5"/>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C6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9ED"/>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0C2"/>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07A"/>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C48"/>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3DB4"/>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2A0A"/>
    <w:rsid w:val="00B6319D"/>
    <w:rsid w:val="00B63FDB"/>
    <w:rsid w:val="00B648B6"/>
    <w:rsid w:val="00B64967"/>
    <w:rsid w:val="00B65534"/>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4C96"/>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50C"/>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6601"/>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341C"/>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8F6"/>
    <w:rsid w:val="00C54C13"/>
    <w:rsid w:val="00C54D4A"/>
    <w:rsid w:val="00C54DF5"/>
    <w:rsid w:val="00C54E36"/>
    <w:rsid w:val="00C54E64"/>
    <w:rsid w:val="00C55C44"/>
    <w:rsid w:val="00C55C7E"/>
    <w:rsid w:val="00C56738"/>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3711"/>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4BCD"/>
    <w:rsid w:val="00E5515A"/>
    <w:rsid w:val="00E552B0"/>
    <w:rsid w:val="00E55E94"/>
    <w:rsid w:val="00E5648B"/>
    <w:rsid w:val="00E56F98"/>
    <w:rsid w:val="00E60126"/>
    <w:rsid w:val="00E61AD9"/>
    <w:rsid w:val="00E625E8"/>
    <w:rsid w:val="00E62DE9"/>
    <w:rsid w:val="00E630B7"/>
    <w:rsid w:val="00E634DA"/>
    <w:rsid w:val="00E634FA"/>
    <w:rsid w:val="00E63F7A"/>
    <w:rsid w:val="00E645CB"/>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168"/>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47"/>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01923403"/>
    <w:rsid w:val="03FA6AB9"/>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ReferenceInternalOrdered">
    <w:name w:val="Reference Internal Ordered"/>
    <w:basedOn w:val="ReferenceOrdered"/>
    <w:rsid w:val="000763E3"/>
    <w:pPr>
      <w:numPr>
        <w:numId w:val="45"/>
      </w:num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CC36F597-E719-4235-B9F0-F705142201FE}"/>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1483</Words>
  <Characters>8457</Characters>
  <Application>Microsoft Office Word</Application>
  <DocSecurity>0</DocSecurity>
  <Lines>70</Lines>
  <Paragraphs>19</Paragraphs>
  <ScaleCrop>false</ScaleCrop>
  <Company>PCS Health Systems</Company>
  <LinksUpToDate>false</LinksUpToDate>
  <CharactersWithSpaces>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imatinib products SGM 2172-A P2024a_R</dc:title>
  <dc:subject/>
  <dc:creator>CVS Caremark</dc:creator>
  <cp:keywords/>
  <cp:lastModifiedBy>Huerta, Linda M</cp:lastModifiedBy>
  <cp:revision>2</cp:revision>
  <cp:lastPrinted>2018-01-09T05:01:00Z</cp:lastPrinted>
  <dcterms:created xsi:type="dcterms:W3CDTF">2025-01-17T23:34:00Z</dcterms:created>
  <dcterms:modified xsi:type="dcterms:W3CDTF">2025-01-17T23:34:00Z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1343900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